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16" w:lineRule="auto"/>
        <w:rPr/>
      </w:pPr>
      <w:bookmarkStart w:colFirst="0" w:colLast="0" w:name="_budu6v1frk5i" w:id="0"/>
      <w:bookmarkEnd w:id="0"/>
      <w:r w:rsidDel="00000000" w:rsidR="00000000" w:rsidRPr="00000000">
        <w:rPr>
          <w:rtl w:val="0"/>
        </w:rPr>
        <w:t xml:space="preserve">RadHR workshop and consultancy criteria &amp; costings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rPr/>
      </w:pPr>
      <w:bookmarkStart w:colFirst="0" w:colLast="0" w:name="_quky5vdcixbv" w:id="1"/>
      <w:bookmarkEnd w:id="1"/>
      <w:r w:rsidDel="00000000" w:rsidR="00000000" w:rsidRPr="00000000">
        <w:rPr>
          <w:rtl w:val="0"/>
        </w:rPr>
        <w:t xml:space="preserve">Approved by Core Team on 18 June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policy aims to clarify what types of bespoke work RadHR will do with individual groups or organisations (workshops or consultancy); how it will be decided (based on capacity and equity questions); and what we will charge for the work (sliding scales based on organisational income). It also outlines a process for bringing in external facilitators or consultants to take on or support a piece of work.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bookmarkStart w:colFirst="0" w:colLast="0" w:name="_htej9jquy0h4" w:id="2"/>
      <w:bookmarkEnd w:id="2"/>
      <w:r w:rsidDel="00000000" w:rsidR="00000000" w:rsidRPr="00000000">
        <w:rPr>
          <w:rtl w:val="0"/>
        </w:rPr>
        <w:t xml:space="preserve">Consultancy</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80" w:lineRule="auto"/>
        <w:rPr/>
      </w:pPr>
      <w:r w:rsidDel="00000000" w:rsidR="00000000" w:rsidRPr="00000000">
        <w:rPr>
          <w:rtl w:val="0"/>
        </w:rPr>
        <w:t xml:space="preserve">We don’t really do much consultancy, with one main exception: consultancy for funders. We are open to doing consultancy with funders for two main reasons:</w:t>
      </w:r>
    </w:p>
    <w:p w:rsidR="00000000" w:rsidDel="00000000" w:rsidP="00000000" w:rsidRDefault="00000000" w:rsidRPr="00000000" w14:paraId="0000000A">
      <w:pPr>
        <w:numPr>
          <w:ilvl w:val="0"/>
          <w:numId w:val="3"/>
        </w:numPr>
        <w:spacing w:after="80" w:lineRule="auto"/>
        <w:ind w:left="566.9291338582675" w:right="-149.5275590551165" w:hanging="360"/>
        <w:rPr>
          <w:u w:val="none"/>
        </w:rPr>
      </w:pPr>
      <w:r w:rsidDel="00000000" w:rsidR="00000000" w:rsidRPr="00000000">
        <w:rPr>
          <w:rtl w:val="0"/>
        </w:rPr>
        <w:t xml:space="preserve">They are a major barrier to groups having their own more radical policies, due to restrictions they often place on grantees around traditional internal policies, and therefore the benefits of helping them shift are likely to ripple across their grantees;</w:t>
      </w:r>
    </w:p>
    <w:p w:rsidR="00000000" w:rsidDel="00000000" w:rsidP="00000000" w:rsidRDefault="00000000" w:rsidRPr="00000000" w14:paraId="0000000B">
      <w:pPr>
        <w:numPr>
          <w:ilvl w:val="0"/>
          <w:numId w:val="3"/>
        </w:numPr>
        <w:ind w:left="566.9291338582675" w:hanging="360"/>
        <w:rPr>
          <w:u w:val="none"/>
        </w:rPr>
      </w:pPr>
      <w:r w:rsidDel="00000000" w:rsidR="00000000" w:rsidRPr="00000000">
        <w:rPr>
          <w:rtl w:val="0"/>
        </w:rPr>
        <w:t xml:space="preserve">They are usually able to pay at a rate that can significantly subsidise work with smaller groups that wouldn’t be able to afford bespoke support otherwise.</w:t>
      </w:r>
    </w:p>
    <w:p w:rsidR="00000000" w:rsidDel="00000000" w:rsidP="00000000" w:rsidRDefault="00000000" w:rsidRPr="00000000" w14:paraId="0000000C">
      <w:pPr>
        <w:rPr>
          <w:sz w:val="14"/>
          <w:szCs w:val="1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Therefore a</w:t>
      </w:r>
      <w:r w:rsidDel="00000000" w:rsidR="00000000" w:rsidRPr="00000000">
        <w:rPr>
          <w:rtl w:val="0"/>
        </w:rPr>
        <w:t xml:space="preserve">ny ‘profit’ (income minus direct expenditure) accrued from doing consultancy with funding bodies will be immediately earmarked to subsidise community-led projects and workshops/consultancy with smaller organisations who can’t afford to pay at the ‘Small’ rates outlined in this policy.</w:t>
      </w:r>
    </w:p>
    <w:p w:rsidR="00000000" w:rsidDel="00000000" w:rsidP="00000000" w:rsidRDefault="00000000" w:rsidRPr="00000000" w14:paraId="0000000E">
      <w:pPr>
        <w:pStyle w:val="Heading2"/>
        <w:rPr/>
      </w:pPr>
      <w:bookmarkStart w:colFirst="0" w:colLast="0" w:name="_3gb0mcnka502" w:id="3"/>
      <w:bookmarkEnd w:id="3"/>
      <w:r w:rsidDel="00000000" w:rsidR="00000000" w:rsidRPr="00000000">
        <w:rPr>
          <w:rtl w:val="0"/>
        </w:rPr>
        <w:t xml:space="preserve">Day rates</w:t>
      </w:r>
    </w:p>
    <w:tbl>
      <w:tblPr>
        <w:tblStyle w:val="Table1"/>
        <w:tblW w:w="7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130"/>
        <w:gridCol w:w="2130"/>
        <w:tblGridChange w:id="0">
          <w:tblGrid>
            <w:gridCol w:w="2760"/>
            <w:gridCol w:w="2130"/>
            <w:gridCol w:w="2130"/>
          </w:tblGrid>
        </w:tblGridChange>
      </w:tblGrid>
      <w:tr>
        <w:trPr>
          <w:cantSplit w:val="0"/>
          <w:trHeight w:val="390" w:hRule="atLeast"/>
          <w:tblHeader w:val="0"/>
        </w:trPr>
        <w:tc>
          <w:tcPr>
            <w:tcBorders>
              <w:top w:color="cccccc" w:space="0" w:sz="5" w:val="single"/>
              <w:left w:color="cccccc" w:space="0" w:sz="5" w:val="single"/>
              <w:bottom w:color="cccccc" w:space="0" w:sz="5" w:val="single"/>
              <w:right w:color="cccccc" w:space="0" w:sz="5" w:val="single"/>
            </w:tcBorders>
            <w:shd w:fill="cfe2f3" w:val="clear"/>
            <w:tcMar>
              <w:top w:w="40.0" w:type="dxa"/>
              <w:left w:w="40.0" w:type="dxa"/>
              <w:bottom w:w="40.0" w:type="dxa"/>
              <w:right w:w="40.0" w:type="dxa"/>
            </w:tcMar>
            <w:vAlign w:val="bottom"/>
          </w:tcPr>
          <w:p w:rsidR="00000000" w:rsidDel="00000000" w:rsidP="00000000" w:rsidRDefault="00000000" w:rsidRPr="00000000" w14:paraId="0000000F">
            <w:pPr>
              <w:widowControl w:val="0"/>
              <w:rPr>
                <w:rFonts w:ascii="Arial" w:cs="Arial" w:eastAsia="Arial" w:hAnsi="Arial"/>
                <w:color w:val="000000"/>
                <w:sz w:val="20"/>
                <w:szCs w:val="20"/>
              </w:rPr>
            </w:pPr>
            <w:r w:rsidDel="00000000" w:rsidR="00000000" w:rsidRPr="00000000">
              <w:rPr>
                <w:color w:val="000000"/>
                <w:rtl w:val="0"/>
              </w:rPr>
              <w:t xml:space="preserve">Small</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cfe2f3" w:val="clear"/>
            <w:tcMar>
              <w:top w:w="40.0" w:type="dxa"/>
              <w:left w:w="40.0" w:type="dxa"/>
              <w:bottom w:w="40.0" w:type="dxa"/>
              <w:right w:w="40.0" w:type="dxa"/>
            </w:tcMar>
            <w:vAlign w:val="bottom"/>
          </w:tcPr>
          <w:p w:rsidR="00000000" w:rsidDel="00000000" w:rsidP="00000000" w:rsidRDefault="00000000" w:rsidRPr="00000000" w14:paraId="00000010">
            <w:pPr>
              <w:widowControl w:val="0"/>
              <w:jc w:val="right"/>
              <w:rPr>
                <w:rFonts w:ascii="Arial" w:cs="Arial" w:eastAsia="Arial" w:hAnsi="Arial"/>
                <w:color w:val="000000"/>
                <w:sz w:val="20"/>
                <w:szCs w:val="20"/>
              </w:rPr>
            </w:pPr>
            <w:r w:rsidDel="00000000" w:rsidR="00000000" w:rsidRPr="00000000">
              <w:rPr>
                <w:color w:val="000000"/>
                <w:rtl w:val="0"/>
              </w:rPr>
              <w:t xml:space="preserve">£230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cfe2f3" w:val="clear"/>
            <w:tcMar>
              <w:top w:w="40.0" w:type="dxa"/>
              <w:left w:w="40.0" w:type="dxa"/>
              <w:bottom w:w="40.0" w:type="dxa"/>
              <w:right w:w="40.0" w:type="dxa"/>
            </w:tcMar>
            <w:vAlign w:val="bottom"/>
          </w:tcPr>
          <w:p w:rsidR="00000000" w:rsidDel="00000000" w:rsidP="00000000" w:rsidRDefault="00000000" w:rsidRPr="00000000" w14:paraId="00000011">
            <w:pPr>
              <w:widowControl w:val="0"/>
              <w:jc w:val="right"/>
              <w:rPr>
                <w:rFonts w:ascii="Arial" w:cs="Arial" w:eastAsia="Arial" w:hAnsi="Arial"/>
                <w:color w:val="000000"/>
                <w:sz w:val="20"/>
                <w:szCs w:val="20"/>
              </w:rPr>
            </w:pPr>
            <w:r w:rsidDel="00000000" w:rsidR="00000000" w:rsidRPr="00000000">
              <w:rPr>
                <w:color w:val="000000"/>
                <w:rtl w:val="0"/>
              </w:rPr>
              <w:t xml:space="preserve">&lt; £150k</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9fc5e8"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Arial" w:cs="Arial" w:eastAsia="Arial" w:hAnsi="Arial"/>
                <w:color w:val="000000"/>
                <w:sz w:val="20"/>
                <w:szCs w:val="20"/>
              </w:rPr>
            </w:pPr>
            <w:r w:rsidDel="00000000" w:rsidR="00000000" w:rsidRPr="00000000">
              <w:rPr>
                <w:color w:val="000000"/>
                <w:rtl w:val="0"/>
              </w:rPr>
              <w:t xml:space="preserve">Medium</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9fc5e8" w:val="clear"/>
            <w:tcMar>
              <w:top w:w="40.0" w:type="dxa"/>
              <w:left w:w="40.0" w:type="dxa"/>
              <w:bottom w:w="40.0" w:type="dxa"/>
              <w:right w:w="40.0" w:type="dxa"/>
            </w:tcMar>
            <w:vAlign w:val="bottom"/>
          </w:tcPr>
          <w:p w:rsidR="00000000" w:rsidDel="00000000" w:rsidP="00000000" w:rsidRDefault="00000000" w:rsidRPr="00000000" w14:paraId="00000013">
            <w:pPr>
              <w:widowControl w:val="0"/>
              <w:jc w:val="right"/>
              <w:rPr>
                <w:rFonts w:ascii="Arial" w:cs="Arial" w:eastAsia="Arial" w:hAnsi="Arial"/>
                <w:color w:val="000000"/>
                <w:sz w:val="20"/>
                <w:szCs w:val="20"/>
              </w:rPr>
            </w:pPr>
            <w:r w:rsidDel="00000000" w:rsidR="00000000" w:rsidRPr="00000000">
              <w:rPr>
                <w:color w:val="000000"/>
                <w:rtl w:val="0"/>
              </w:rPr>
              <w:t xml:space="preserve">£460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9fc5e8" w:val="clear"/>
            <w:tcMar>
              <w:top w:w="40.0" w:type="dxa"/>
              <w:left w:w="40.0" w:type="dxa"/>
              <w:bottom w:w="40.0" w:type="dxa"/>
              <w:right w:w="40.0" w:type="dxa"/>
            </w:tcMar>
            <w:vAlign w:val="bottom"/>
          </w:tcPr>
          <w:p w:rsidR="00000000" w:rsidDel="00000000" w:rsidP="00000000" w:rsidRDefault="00000000" w:rsidRPr="00000000" w14:paraId="00000014">
            <w:pPr>
              <w:widowControl w:val="0"/>
              <w:jc w:val="right"/>
              <w:rPr>
                <w:rFonts w:ascii="Arial" w:cs="Arial" w:eastAsia="Arial" w:hAnsi="Arial"/>
                <w:color w:val="000000"/>
                <w:sz w:val="20"/>
                <w:szCs w:val="20"/>
              </w:rPr>
            </w:pPr>
            <w:r w:rsidDel="00000000" w:rsidR="00000000" w:rsidRPr="00000000">
              <w:rPr>
                <w:color w:val="000000"/>
                <w:rtl w:val="0"/>
              </w:rPr>
              <w:t xml:space="preserve">£150k–500k</w:t>
            </w:r>
            <w:r w:rsidDel="00000000" w:rsidR="00000000" w:rsidRPr="00000000">
              <w:rPr>
                <w:rtl w:val="0"/>
              </w:rPr>
            </w:r>
          </w:p>
        </w:tc>
      </w:tr>
      <w:tr>
        <w:trPr>
          <w:cantSplit w:val="0"/>
          <w:trHeight w:val="330" w:hRule="atLeast"/>
          <w:tblHeader w:val="0"/>
        </w:trPr>
        <w:tc>
          <w:tcPr>
            <w:tcBorders>
              <w:top w:color="cccccc" w:space="0" w:sz="5" w:val="single"/>
              <w:left w:color="cccccc" w:space="0" w:sz="5" w:val="single"/>
              <w:bottom w:color="cccccc" w:space="0" w:sz="5" w:val="single"/>
              <w:right w:color="cccccc"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Arial" w:cs="Arial" w:eastAsia="Arial" w:hAnsi="Arial"/>
                <w:color w:val="000000"/>
                <w:sz w:val="20"/>
                <w:szCs w:val="20"/>
              </w:rPr>
            </w:pPr>
            <w:r w:rsidDel="00000000" w:rsidR="00000000" w:rsidRPr="00000000">
              <w:rPr>
                <w:color w:val="000000"/>
                <w:rtl w:val="0"/>
              </w:rPr>
              <w:t xml:space="preserve">Large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016">
            <w:pPr>
              <w:widowControl w:val="0"/>
              <w:jc w:val="right"/>
              <w:rPr>
                <w:rFonts w:ascii="Arial" w:cs="Arial" w:eastAsia="Arial" w:hAnsi="Arial"/>
                <w:color w:val="000000"/>
                <w:sz w:val="20"/>
                <w:szCs w:val="20"/>
              </w:rPr>
            </w:pPr>
            <w:r w:rsidDel="00000000" w:rsidR="00000000" w:rsidRPr="00000000">
              <w:rPr>
                <w:color w:val="000000"/>
                <w:rtl w:val="0"/>
              </w:rPr>
              <w:t xml:space="preserve">£690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017">
            <w:pPr>
              <w:widowControl w:val="0"/>
              <w:jc w:val="right"/>
              <w:rPr>
                <w:rFonts w:ascii="Arial" w:cs="Arial" w:eastAsia="Arial" w:hAnsi="Arial"/>
                <w:color w:val="000000"/>
                <w:sz w:val="20"/>
                <w:szCs w:val="20"/>
              </w:rPr>
            </w:pPr>
            <w:r w:rsidDel="00000000" w:rsidR="00000000" w:rsidRPr="00000000">
              <w:rPr>
                <w:color w:val="000000"/>
                <w:rtl w:val="0"/>
              </w:rPr>
              <w:t xml:space="preserve">£500k-£2m</w:t>
            </w:r>
            <w:r w:rsidDel="00000000" w:rsidR="00000000" w:rsidRPr="00000000">
              <w:rPr>
                <w:rtl w:val="0"/>
              </w:rPr>
            </w:r>
          </w:p>
        </w:tc>
      </w:tr>
      <w:tr>
        <w:trPr>
          <w:cantSplit w:val="0"/>
          <w:trHeight w:val="330" w:hRule="atLeast"/>
          <w:tblHeader w:val="0"/>
        </w:trPr>
        <w:tc>
          <w:tcPr>
            <w:tcBorders>
              <w:top w:color="cccccc" w:space="0" w:sz="5" w:val="single"/>
              <w:left w:color="cccccc" w:space="0" w:sz="5" w:val="single"/>
              <w:bottom w:color="cccccc" w:space="0" w:sz="5" w:val="single"/>
              <w:right w:color="cccccc" w:space="0" w:sz="5" w:val="single"/>
            </w:tcBorders>
            <w:shd w:fill="3d85c6" w:val="clear"/>
            <w:tcMar>
              <w:top w:w="40.0" w:type="dxa"/>
              <w:left w:w="40.0" w:type="dxa"/>
              <w:bottom w:w="40.0" w:type="dxa"/>
              <w:right w:w="40.0" w:type="dxa"/>
            </w:tcMar>
            <w:vAlign w:val="bottom"/>
          </w:tcPr>
          <w:p w:rsidR="00000000" w:rsidDel="00000000" w:rsidP="00000000" w:rsidRDefault="00000000" w:rsidRPr="00000000" w14:paraId="00000018">
            <w:pPr>
              <w:widowControl w:val="0"/>
              <w:rPr>
                <w:rFonts w:ascii="Arial" w:cs="Arial" w:eastAsia="Arial" w:hAnsi="Arial"/>
                <w:color w:val="000000"/>
                <w:sz w:val="20"/>
                <w:szCs w:val="20"/>
              </w:rPr>
            </w:pPr>
            <w:r w:rsidDel="00000000" w:rsidR="00000000" w:rsidRPr="00000000">
              <w:rPr>
                <w:color w:val="000000"/>
                <w:rtl w:val="0"/>
              </w:rPr>
              <w:t xml:space="preserve">Massive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3d85c6" w:val="clear"/>
            <w:tcMar>
              <w:top w:w="40.0" w:type="dxa"/>
              <w:left w:w="40.0" w:type="dxa"/>
              <w:bottom w:w="40.0" w:type="dxa"/>
              <w:right w:w="40.0" w:type="dxa"/>
            </w:tcMar>
            <w:vAlign w:val="bottom"/>
          </w:tcPr>
          <w:p w:rsidR="00000000" w:rsidDel="00000000" w:rsidP="00000000" w:rsidRDefault="00000000" w:rsidRPr="00000000" w14:paraId="00000019">
            <w:pPr>
              <w:widowControl w:val="0"/>
              <w:jc w:val="right"/>
              <w:rPr>
                <w:rFonts w:ascii="Arial" w:cs="Arial" w:eastAsia="Arial" w:hAnsi="Arial"/>
                <w:color w:val="000000"/>
                <w:sz w:val="20"/>
                <w:szCs w:val="20"/>
              </w:rPr>
            </w:pPr>
            <w:r w:rsidDel="00000000" w:rsidR="00000000" w:rsidRPr="00000000">
              <w:rPr>
                <w:color w:val="000000"/>
                <w:rtl w:val="0"/>
              </w:rPr>
              <w:t xml:space="preserve">£920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3d85c6" w:val="clear"/>
            <w:tcMar>
              <w:top w:w="40.0" w:type="dxa"/>
              <w:left w:w="40.0" w:type="dxa"/>
              <w:bottom w:w="40.0" w:type="dxa"/>
              <w:right w:w="40.0" w:type="dxa"/>
            </w:tcMar>
            <w:vAlign w:val="bottom"/>
          </w:tcPr>
          <w:p w:rsidR="00000000" w:rsidDel="00000000" w:rsidP="00000000" w:rsidRDefault="00000000" w:rsidRPr="00000000" w14:paraId="0000001A">
            <w:pPr>
              <w:widowControl w:val="0"/>
              <w:jc w:val="right"/>
              <w:rPr>
                <w:rFonts w:ascii="Arial" w:cs="Arial" w:eastAsia="Arial" w:hAnsi="Arial"/>
                <w:color w:val="000000"/>
                <w:sz w:val="20"/>
                <w:szCs w:val="20"/>
              </w:rPr>
            </w:pPr>
            <w:r w:rsidDel="00000000" w:rsidR="00000000" w:rsidRPr="00000000">
              <w:rPr>
                <w:color w:val="000000"/>
                <w:rtl w:val="0"/>
              </w:rPr>
              <w:t xml:space="preserve">&gt;£2m</w:t>
            </w: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14"/>
          <w:szCs w:val="14"/>
        </w:rPr>
      </w:pPr>
      <w:r w:rsidDel="00000000" w:rsidR="00000000" w:rsidRPr="00000000">
        <w:rPr>
          <w:rtl w:val="0"/>
        </w:rPr>
      </w:r>
    </w:p>
    <w:p w:rsidR="00000000" w:rsidDel="00000000" w:rsidP="00000000" w:rsidRDefault="00000000" w:rsidRPr="00000000" w14:paraId="0000001D">
      <w:pPr>
        <w:pStyle w:val="Heading1"/>
        <w:rPr/>
      </w:pPr>
      <w:bookmarkStart w:colFirst="0" w:colLast="0" w:name="_8h394vca3m44" w:id="4"/>
      <w:bookmarkEnd w:id="4"/>
      <w:r w:rsidDel="00000000" w:rsidR="00000000" w:rsidRPr="00000000">
        <w:rPr>
          <w:rtl w:val="0"/>
        </w:rPr>
        <w:t xml:space="preserve">Workshops</w:t>
      </w:r>
    </w:p>
    <w:p w:rsidR="00000000" w:rsidDel="00000000" w:rsidP="00000000" w:rsidRDefault="00000000" w:rsidRPr="00000000" w14:paraId="0000001E">
      <w:pPr>
        <w:pStyle w:val="Heading2"/>
        <w:rPr/>
      </w:pPr>
      <w:bookmarkStart w:colFirst="0" w:colLast="0" w:name="_11r86dvtq2uk" w:id="5"/>
      <w:bookmarkEnd w:id="5"/>
      <w:r w:rsidDel="00000000" w:rsidR="00000000" w:rsidRPr="00000000">
        <w:rPr>
          <w:rtl w:val="0"/>
        </w:rPr>
        <w:t xml:space="preserve">Criteria for offering free workshops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All of the criteria below do not need to be met, see the </w:t>
      </w:r>
      <w:hyperlink w:anchor="_lr9lm9aj4ooo">
        <w:r w:rsidDel="00000000" w:rsidR="00000000" w:rsidRPr="00000000">
          <w:rPr>
            <w:color w:val="1155cc"/>
            <w:u w:val="single"/>
            <w:rtl w:val="0"/>
          </w:rPr>
          <w:t xml:space="preserve">Decision-making section</w:t>
        </w:r>
      </w:hyperlink>
      <w:r w:rsidDel="00000000" w:rsidR="00000000" w:rsidRPr="00000000">
        <w:rPr>
          <w:rtl w:val="0"/>
        </w:rPr>
        <w:t xml:space="preserve"> for more detail on how to evaluate requests using the below.</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bookmarkStart w:colFirst="0" w:colLast="0" w:name="_tcwytlhdrykk" w:id="6"/>
      <w:bookmarkEnd w:id="6"/>
      <w:r w:rsidDel="00000000" w:rsidR="00000000" w:rsidRPr="00000000">
        <w:rPr>
          <w:rtl w:val="0"/>
        </w:rPr>
        <w:t xml:space="preserve">External criteria </w:t>
      </w:r>
    </w:p>
    <w:p w:rsidR="00000000" w:rsidDel="00000000" w:rsidP="00000000" w:rsidRDefault="00000000" w:rsidRPr="00000000" w14:paraId="00000022">
      <w:pPr>
        <w:spacing w:after="120" w:lineRule="auto"/>
        <w:rPr>
          <w:i w:val="1"/>
        </w:rPr>
      </w:pPr>
      <w:r w:rsidDel="00000000" w:rsidR="00000000" w:rsidRPr="00000000">
        <w:rPr>
          <w:i w:val="1"/>
          <w:rtl w:val="0"/>
        </w:rPr>
        <w:t xml:space="preserve">(These are guidelines, but we recognise that not all groups will meet all of them).</w:t>
      </w:r>
    </w:p>
    <w:p w:rsidR="00000000" w:rsidDel="00000000" w:rsidP="00000000" w:rsidRDefault="00000000" w:rsidRPr="00000000" w14:paraId="00000023">
      <w:pPr>
        <w:numPr>
          <w:ilvl w:val="0"/>
          <w:numId w:val="6"/>
        </w:numPr>
        <w:spacing w:after="120" w:lineRule="auto"/>
        <w:ind w:left="720" w:hanging="360"/>
        <w:rPr>
          <w:u w:val="none"/>
        </w:rPr>
      </w:pPr>
      <w:r w:rsidDel="00000000" w:rsidR="00000000" w:rsidRPr="00000000">
        <w:rPr>
          <w:rtl w:val="0"/>
        </w:rPr>
        <w:t xml:space="preserve">Turnover under £150k;</w:t>
      </w:r>
    </w:p>
    <w:p w:rsidR="00000000" w:rsidDel="00000000" w:rsidP="00000000" w:rsidRDefault="00000000" w:rsidRPr="00000000" w14:paraId="00000024">
      <w:pPr>
        <w:numPr>
          <w:ilvl w:val="0"/>
          <w:numId w:val="6"/>
        </w:numPr>
        <w:spacing w:after="120" w:lineRule="auto"/>
        <w:ind w:left="720" w:hanging="360"/>
        <w:rPr>
          <w:u w:val="none"/>
        </w:rPr>
      </w:pPr>
      <w:r w:rsidDel="00000000" w:rsidR="00000000" w:rsidRPr="00000000">
        <w:rPr>
          <w:rtl w:val="0"/>
        </w:rPr>
        <w:t xml:space="preserve">Less than 6 staff</w:t>
      </w:r>
      <w:r w:rsidDel="00000000" w:rsidR="00000000" w:rsidRPr="00000000">
        <w:rPr>
          <w:rtl w:val="0"/>
        </w:rPr>
        <w:t xml:space="preserve">;</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Led by people affected by the issues being addressed by the group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3"/>
        <w:rPr/>
      </w:pPr>
      <w:bookmarkStart w:colFirst="0" w:colLast="0" w:name="_irytmmntlalq" w:id="7"/>
      <w:bookmarkEnd w:id="7"/>
      <w:r w:rsidDel="00000000" w:rsidR="00000000" w:rsidRPr="00000000">
        <w:rPr>
          <w:rtl w:val="0"/>
        </w:rPr>
        <w:t xml:space="preserve">Internal criteria </w:t>
      </w:r>
    </w:p>
    <w:p w:rsidR="00000000" w:rsidDel="00000000" w:rsidP="00000000" w:rsidRDefault="00000000" w:rsidRPr="00000000" w14:paraId="00000028">
      <w:pPr>
        <w:rPr>
          <w:i w:val="1"/>
        </w:rPr>
      </w:pPr>
      <w:r w:rsidDel="00000000" w:rsidR="00000000" w:rsidRPr="00000000">
        <w:rPr>
          <w:i w:val="1"/>
          <w:rtl w:val="0"/>
        </w:rPr>
        <w:t xml:space="preserve">(These are essential criteria).</w:t>
      </w:r>
      <w:r w:rsidDel="00000000" w:rsidR="00000000" w:rsidRPr="00000000">
        <w:rPr>
          <w:rtl w:val="0"/>
        </w:rPr>
      </w:r>
    </w:p>
    <w:p w:rsidR="00000000" w:rsidDel="00000000" w:rsidP="00000000" w:rsidRDefault="00000000" w:rsidRPr="00000000" w14:paraId="00000029">
      <w:pPr>
        <w:numPr>
          <w:ilvl w:val="0"/>
          <w:numId w:val="9"/>
        </w:numPr>
        <w:spacing w:after="120" w:lineRule="auto"/>
        <w:ind w:left="720" w:hanging="360"/>
        <w:rPr>
          <w:u w:val="none"/>
        </w:rPr>
      </w:pPr>
      <w:r w:rsidDel="00000000" w:rsidR="00000000" w:rsidRPr="00000000">
        <w:rPr>
          <w:rtl w:val="0"/>
        </w:rPr>
        <w:t xml:space="preserve">Can be covered by 1 or 2 members of the Core Team:</w:t>
      </w:r>
    </w:p>
    <w:p w:rsidR="00000000" w:rsidDel="00000000" w:rsidP="00000000" w:rsidRDefault="00000000" w:rsidRPr="00000000" w14:paraId="0000002A">
      <w:pPr>
        <w:numPr>
          <w:ilvl w:val="1"/>
          <w:numId w:val="9"/>
        </w:numPr>
        <w:spacing w:after="120" w:lineRule="auto"/>
        <w:ind w:left="1440" w:hanging="360"/>
        <w:rPr>
          <w:u w:val="none"/>
        </w:rPr>
      </w:pPr>
      <w:r w:rsidDel="00000000" w:rsidR="00000000" w:rsidRPr="00000000">
        <w:rPr>
          <w:rtl w:val="0"/>
        </w:rPr>
        <w:t xml:space="preserve">within existing hours</w:t>
      </w:r>
      <w:r w:rsidDel="00000000" w:rsidR="00000000" w:rsidRPr="00000000">
        <w:rPr>
          <w:rtl w:val="0"/>
        </w:rPr>
        <w:t xml:space="preserve">; or </w:t>
      </w:r>
    </w:p>
    <w:p w:rsidR="00000000" w:rsidDel="00000000" w:rsidP="00000000" w:rsidRDefault="00000000" w:rsidRPr="00000000" w14:paraId="0000002B">
      <w:pPr>
        <w:numPr>
          <w:ilvl w:val="1"/>
          <w:numId w:val="9"/>
        </w:numPr>
        <w:spacing w:after="120" w:lineRule="auto"/>
        <w:ind w:left="1440" w:hanging="360"/>
        <w:rPr>
          <w:u w:val="none"/>
        </w:rPr>
      </w:pPr>
      <w:r w:rsidDel="00000000" w:rsidR="00000000" w:rsidRPr="00000000">
        <w:rPr>
          <w:rtl w:val="0"/>
        </w:rPr>
        <w:t xml:space="preserve">beyond existing hours, if there is sufficient budget</w:t>
      </w:r>
      <w:r w:rsidDel="00000000" w:rsidR="00000000" w:rsidRPr="00000000">
        <w:rPr>
          <w:rtl w:val="0"/>
        </w:rPr>
        <w:t xml:space="preserve"> available to do so, and has been agreed by the </w:t>
      </w:r>
      <w:hyperlink r:id="rId6">
        <w:r w:rsidDel="00000000" w:rsidR="00000000" w:rsidRPr="00000000">
          <w:rPr>
            <w:color w:val="1155cc"/>
            <w:u w:val="single"/>
            <w:rtl w:val="0"/>
          </w:rPr>
          <w:t xml:space="preserve">Core Team</w:t>
        </w:r>
      </w:hyperlink>
      <w:r w:rsidDel="00000000" w:rsidR="00000000" w:rsidRPr="00000000">
        <w:rPr>
          <w:rtl w:val="0"/>
        </w:rPr>
        <w:t xml:space="preserve">; or</w:t>
      </w:r>
    </w:p>
    <w:p w:rsidR="00000000" w:rsidDel="00000000" w:rsidP="00000000" w:rsidRDefault="00000000" w:rsidRPr="00000000" w14:paraId="0000002C">
      <w:pPr>
        <w:numPr>
          <w:ilvl w:val="1"/>
          <w:numId w:val="9"/>
        </w:numPr>
        <w:spacing w:after="120" w:lineRule="auto"/>
        <w:ind w:left="1440" w:hanging="360"/>
        <w:rPr>
          <w:u w:val="none"/>
        </w:rPr>
      </w:pPr>
      <w:r w:rsidDel="00000000" w:rsidR="00000000" w:rsidRPr="00000000">
        <w:rPr>
          <w:rtl w:val="0"/>
        </w:rPr>
        <w:t xml:space="preserve">outside core hours, if there </w:t>
      </w:r>
      <w:r w:rsidDel="00000000" w:rsidR="00000000" w:rsidRPr="00000000">
        <w:rPr>
          <w:rtl w:val="0"/>
        </w:rPr>
        <w:t xml:space="preserve">is budget</w:t>
      </w:r>
      <w:r w:rsidDel="00000000" w:rsidR="00000000" w:rsidRPr="00000000">
        <w:rPr>
          <w:rtl w:val="0"/>
        </w:rPr>
        <w:t xml:space="preserve"> to pay them separately.</w:t>
      </w:r>
    </w:p>
    <w:p w:rsidR="00000000" w:rsidDel="00000000" w:rsidP="00000000" w:rsidRDefault="00000000" w:rsidRPr="00000000" w14:paraId="0000002D">
      <w:pPr>
        <w:numPr>
          <w:ilvl w:val="0"/>
          <w:numId w:val="9"/>
        </w:numPr>
        <w:ind w:left="720" w:hanging="360"/>
        <w:rPr>
          <w:u w:val="none"/>
        </w:rPr>
      </w:pPr>
      <w:r w:rsidDel="00000000" w:rsidR="00000000" w:rsidRPr="00000000">
        <w:rPr>
          <w:rtl w:val="0"/>
        </w:rPr>
        <w:t xml:space="preserve">Sufficient enthusiasm and time from enough of the team to deliver.</w:t>
      </w: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pStyle w:val="Heading2"/>
        <w:rPr>
          <w:i w:val="1"/>
        </w:rPr>
      </w:pPr>
      <w:bookmarkStart w:colFirst="0" w:colLast="0" w:name="_ayojkj12zdwv" w:id="8"/>
      <w:bookmarkEnd w:id="8"/>
      <w:r w:rsidDel="00000000" w:rsidR="00000000" w:rsidRPr="00000000">
        <w:rPr>
          <w:rtl w:val="0"/>
        </w:rPr>
        <w:t xml:space="preserve">Criteria for paying external facilitators</w:t>
      </w:r>
      <w:r w:rsidDel="00000000" w:rsidR="00000000" w:rsidRPr="00000000">
        <w:rPr>
          <w:rtl w:val="0"/>
        </w:rPr>
      </w:r>
    </w:p>
    <w:tbl>
      <w:tblPr>
        <w:tblStyle w:val="Table2"/>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30">
            <w:pPr>
              <w:widowControl w:val="0"/>
              <w:spacing w:line="240" w:lineRule="auto"/>
              <w:rPr>
                <w:i w:val="1"/>
              </w:rPr>
            </w:pPr>
            <w:r w:rsidDel="00000000" w:rsidR="00000000" w:rsidRPr="00000000">
              <w:rPr>
                <w:b w:val="1"/>
                <w:i w:val="1"/>
                <w:rtl w:val="0"/>
              </w:rPr>
              <w:t xml:space="preserve">N.B. </w:t>
            </w:r>
            <w:r w:rsidDel="00000000" w:rsidR="00000000" w:rsidRPr="00000000">
              <w:rPr>
                <w:i w:val="1"/>
                <w:rtl w:val="0"/>
              </w:rPr>
              <w:t xml:space="preserve">This document is meant to be used in conjunction with our </w:t>
            </w:r>
            <w:hyperlink r:id="rId7">
              <w:r w:rsidDel="00000000" w:rsidR="00000000" w:rsidRPr="00000000">
                <w:rPr>
                  <w:i w:val="1"/>
                  <w:color w:val="1155cc"/>
                  <w:u w:val="single"/>
                  <w:rtl w:val="0"/>
                </w:rPr>
                <w:t xml:space="preserve">Pay Policy</w:t>
              </w:r>
            </w:hyperlink>
            <w:r w:rsidDel="00000000" w:rsidR="00000000" w:rsidRPr="00000000">
              <w:rPr>
                <w:i w:val="1"/>
                <w:rtl w:val="0"/>
              </w:rPr>
              <w:t xml:space="preserve">, which explains the rationale behind the rates we pay and the rates we charge.</w:t>
            </w:r>
            <w:r w:rsidDel="00000000" w:rsidR="00000000" w:rsidRPr="00000000">
              <w:rPr>
                <w:rtl w:val="0"/>
              </w:rPr>
            </w:r>
          </w:p>
        </w:tc>
      </w:tr>
    </w:tbl>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numPr>
          <w:ilvl w:val="0"/>
          <w:numId w:val="4"/>
        </w:numPr>
        <w:spacing w:after="120" w:lineRule="auto"/>
        <w:ind w:left="720" w:hanging="360"/>
        <w:rPr/>
      </w:pPr>
      <w:r w:rsidDel="00000000" w:rsidR="00000000" w:rsidRPr="00000000">
        <w:rPr>
          <w:rtl w:val="0"/>
        </w:rPr>
        <w:t xml:space="preserve">Lack of capacity amongst the Core Team AND/OR particular relevant experiences lacking amongst the Core Team.</w:t>
      </w:r>
    </w:p>
    <w:p w:rsidR="00000000" w:rsidDel="00000000" w:rsidP="00000000" w:rsidRDefault="00000000" w:rsidRPr="00000000" w14:paraId="00000033">
      <w:pPr>
        <w:numPr>
          <w:ilvl w:val="0"/>
          <w:numId w:val="4"/>
        </w:numPr>
        <w:spacing w:after="120" w:lineRule="auto"/>
        <w:ind w:left="720" w:hanging="360"/>
        <w:rPr/>
      </w:pPr>
      <w:r w:rsidDel="00000000" w:rsidR="00000000" w:rsidRPr="00000000">
        <w:rPr>
          <w:rtl w:val="0"/>
        </w:rPr>
        <w:t xml:space="preserve">Shared confidence/trust amongst the Core Team that the external </w:t>
      </w:r>
      <w:r w:rsidDel="00000000" w:rsidR="00000000" w:rsidRPr="00000000">
        <w:rPr>
          <w:rtl w:val="0"/>
        </w:rPr>
        <w:t xml:space="preserve">person ‘gets’ </w:t>
      </w:r>
      <w:r w:rsidDel="00000000" w:rsidR="00000000" w:rsidRPr="00000000">
        <w:rPr>
          <w:rtl w:val="0"/>
        </w:rPr>
        <w:t xml:space="preserve">radical HR (beyond just RadHR, the website)</w:t>
      </w:r>
      <w:r w:rsidDel="00000000" w:rsidR="00000000" w:rsidRPr="00000000">
        <w:rPr>
          <w:rtl w:val="0"/>
        </w:rPr>
        <w:t xml:space="preserve">. This includes things like:</w:t>
      </w:r>
    </w:p>
    <w:p w:rsidR="00000000" w:rsidDel="00000000" w:rsidP="00000000" w:rsidRDefault="00000000" w:rsidRPr="00000000" w14:paraId="00000034">
      <w:pPr>
        <w:numPr>
          <w:ilvl w:val="1"/>
          <w:numId w:val="4"/>
        </w:numPr>
        <w:spacing w:after="120" w:lineRule="auto"/>
        <w:ind w:left="1440" w:hanging="360"/>
        <w:rPr/>
      </w:pPr>
      <w:r w:rsidDel="00000000" w:rsidR="00000000" w:rsidRPr="00000000">
        <w:rPr>
          <w:rtl w:val="0"/>
        </w:rPr>
        <w:t xml:space="preserve">Understandings of how oppressions/power inequalities play out within group and organisational spaces;</w:t>
      </w:r>
    </w:p>
    <w:p w:rsidR="00000000" w:rsidDel="00000000" w:rsidP="00000000" w:rsidRDefault="00000000" w:rsidRPr="00000000" w14:paraId="00000035">
      <w:pPr>
        <w:numPr>
          <w:ilvl w:val="1"/>
          <w:numId w:val="4"/>
        </w:numPr>
        <w:spacing w:after="120" w:lineRule="auto"/>
        <w:ind w:left="1440" w:hanging="360"/>
        <w:rPr/>
      </w:pPr>
      <w:r w:rsidDel="00000000" w:rsidR="00000000" w:rsidRPr="00000000">
        <w:rPr>
          <w:rtl w:val="0"/>
        </w:rPr>
        <w:t xml:space="preserve">A belief that doing things differently within our spaces is both ethically important and essential to groups’ abilities to achieve wider change;</w:t>
      </w:r>
    </w:p>
    <w:p w:rsidR="00000000" w:rsidDel="00000000" w:rsidP="00000000" w:rsidRDefault="00000000" w:rsidRPr="00000000" w14:paraId="00000036">
      <w:pPr>
        <w:numPr>
          <w:ilvl w:val="1"/>
          <w:numId w:val="4"/>
        </w:numPr>
        <w:spacing w:after="120" w:lineRule="auto"/>
        <w:ind w:left="1440" w:hanging="360"/>
        <w:rPr/>
      </w:pPr>
      <w:r w:rsidDel="00000000" w:rsidR="00000000" w:rsidRPr="00000000">
        <w:rPr>
          <w:rtl w:val="0"/>
        </w:rPr>
        <w:t xml:space="preserve">Appreciation of the messiness, complexities and contradictions of working to shift established power dynamics and group cultures;</w:t>
      </w:r>
    </w:p>
    <w:p w:rsidR="00000000" w:rsidDel="00000000" w:rsidP="00000000" w:rsidRDefault="00000000" w:rsidRPr="00000000" w14:paraId="00000037">
      <w:pPr>
        <w:numPr>
          <w:ilvl w:val="1"/>
          <w:numId w:val="4"/>
        </w:numPr>
        <w:spacing w:after="120" w:lineRule="auto"/>
        <w:ind w:left="1440" w:hanging="360"/>
        <w:rPr/>
      </w:pPr>
      <w:r w:rsidDel="00000000" w:rsidR="00000000" w:rsidRPr="00000000">
        <w:rPr>
          <w:rtl w:val="0"/>
        </w:rPr>
        <w:t xml:space="preserve">Has experience of ‘doing’ radical HR and can communicate about it.</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Pay received from the group can more than cover the additional costs OR there is sufficient surplus in another budget line that has been agreed by the Core Team OR there is money from consultancy with a funder that is earmarked to subsidise work with small groups.</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pStyle w:val="Heading2"/>
        <w:rPr/>
      </w:pPr>
      <w:bookmarkStart w:colFirst="0" w:colLast="0" w:name="_lr9lm9aj4ooo" w:id="9"/>
      <w:bookmarkEnd w:id="9"/>
      <w:r w:rsidDel="00000000" w:rsidR="00000000" w:rsidRPr="00000000">
        <w:rPr>
          <w:rtl w:val="0"/>
        </w:rPr>
        <w:t xml:space="preserve">Decision-making process</w:t>
      </w:r>
    </w:p>
    <w:p w:rsidR="00000000" w:rsidDel="00000000" w:rsidP="00000000" w:rsidRDefault="00000000" w:rsidRPr="00000000" w14:paraId="0000003B">
      <w:pPr>
        <w:spacing w:after="80" w:lineRule="auto"/>
        <w:rPr>
          <w:b w:val="1"/>
        </w:rPr>
      </w:pPr>
      <w:r w:rsidDel="00000000" w:rsidR="00000000" w:rsidRPr="00000000">
        <w:rPr>
          <w:b w:val="1"/>
          <w:color w:val="65d0a5"/>
          <w:rtl w:val="0"/>
        </w:rPr>
        <w:t xml:space="preserve">Step 1:</w:t>
      </w:r>
      <w:r w:rsidDel="00000000" w:rsidR="00000000" w:rsidRPr="00000000">
        <w:rPr>
          <w:b w:val="1"/>
          <w:rtl w:val="0"/>
        </w:rPr>
        <w:t xml:space="preserve"> Sharing/presenting suggestions/requests</w:t>
      </w:r>
    </w:p>
    <w:p w:rsidR="00000000" w:rsidDel="00000000" w:rsidP="00000000" w:rsidRDefault="00000000" w:rsidRPr="00000000" w14:paraId="0000003C">
      <w:pPr>
        <w:numPr>
          <w:ilvl w:val="0"/>
          <w:numId w:val="2"/>
        </w:numPr>
        <w:spacing w:after="80" w:lineRule="auto"/>
        <w:ind w:left="720" w:hanging="360"/>
        <w:rPr>
          <w:u w:val="none"/>
        </w:rPr>
      </w:pPr>
      <w:r w:rsidDel="00000000" w:rsidR="00000000" w:rsidRPr="00000000">
        <w:rPr>
          <w:rtl w:val="0"/>
        </w:rPr>
        <w:t xml:space="preserve">Sharing details of the suggestions/requests with as much notice as possible with the rest of the Core Team;</w:t>
      </w:r>
    </w:p>
    <w:p w:rsidR="00000000" w:rsidDel="00000000" w:rsidP="00000000" w:rsidRDefault="00000000" w:rsidRPr="00000000" w14:paraId="0000003D">
      <w:pPr>
        <w:numPr>
          <w:ilvl w:val="0"/>
          <w:numId w:val="2"/>
        </w:numPr>
        <w:spacing w:after="80" w:lineRule="auto"/>
        <w:ind w:left="720" w:hanging="360"/>
      </w:pPr>
      <w:r w:rsidDel="00000000" w:rsidR="00000000" w:rsidRPr="00000000">
        <w:rPr>
          <w:rtl w:val="0"/>
        </w:rPr>
        <w:t xml:space="preserve">Meeting to present the suggestion/request to the rest of the Core Team, including: who the group/s involved is/are; what they would like from us; when they would like it.</w:t>
      </w:r>
    </w:p>
    <w:p w:rsidR="00000000" w:rsidDel="00000000" w:rsidP="00000000" w:rsidRDefault="00000000" w:rsidRPr="00000000" w14:paraId="0000003E">
      <w:pPr>
        <w:spacing w:after="80" w:lineRule="auto"/>
        <w:rPr/>
      </w:pPr>
      <w:r w:rsidDel="00000000" w:rsidR="00000000" w:rsidRPr="00000000">
        <w:rPr>
          <w:rtl w:val="0"/>
        </w:rPr>
      </w:r>
    </w:p>
    <w:p w:rsidR="00000000" w:rsidDel="00000000" w:rsidP="00000000" w:rsidRDefault="00000000" w:rsidRPr="00000000" w14:paraId="0000003F">
      <w:pPr>
        <w:spacing w:after="80" w:lineRule="auto"/>
        <w:rPr>
          <w:b w:val="1"/>
        </w:rPr>
      </w:pPr>
      <w:r w:rsidDel="00000000" w:rsidR="00000000" w:rsidRPr="00000000">
        <w:rPr>
          <w:b w:val="1"/>
          <w:color w:val="65d0a5"/>
          <w:rtl w:val="0"/>
        </w:rPr>
        <w:t xml:space="preserve">Step 2:</w:t>
      </w:r>
      <w:r w:rsidDel="00000000" w:rsidR="00000000" w:rsidRPr="00000000">
        <w:rPr>
          <w:b w:val="1"/>
          <w:rtl w:val="0"/>
        </w:rPr>
        <w:t xml:space="preserve"> Assessing energy and capacity</w:t>
      </w:r>
    </w:p>
    <w:p w:rsidR="00000000" w:rsidDel="00000000" w:rsidP="00000000" w:rsidRDefault="00000000" w:rsidRPr="00000000" w14:paraId="00000040">
      <w:pPr>
        <w:numPr>
          <w:ilvl w:val="0"/>
          <w:numId w:val="2"/>
        </w:numPr>
        <w:spacing w:after="80" w:lineRule="auto"/>
        <w:ind w:left="720" w:hanging="360"/>
        <w:rPr>
          <w:u w:val="none"/>
        </w:rPr>
      </w:pPr>
      <w:r w:rsidDel="00000000" w:rsidR="00000000" w:rsidRPr="00000000">
        <w:rPr>
          <w:rtl w:val="0"/>
        </w:rPr>
        <w:t xml:space="preserve">Check if there is energy or enthusiasm AND appropriate time AND relevant experience from anyone in the Core Team for it</w:t>
      </w:r>
    </w:p>
    <w:p w:rsidR="00000000" w:rsidDel="00000000" w:rsidP="00000000" w:rsidRDefault="00000000" w:rsidRPr="00000000" w14:paraId="00000041">
      <w:pPr>
        <w:numPr>
          <w:ilvl w:val="1"/>
          <w:numId w:val="2"/>
        </w:numPr>
        <w:spacing w:after="80" w:lineRule="auto"/>
        <w:ind w:left="1440" w:hanging="360"/>
      </w:pPr>
      <w:r w:rsidDel="00000000" w:rsidR="00000000" w:rsidRPr="00000000">
        <w:rPr>
          <w:rtl w:val="0"/>
        </w:rPr>
        <w:t xml:space="preserve">If so, go to Step Three</w:t>
      </w:r>
    </w:p>
    <w:p w:rsidR="00000000" w:rsidDel="00000000" w:rsidP="00000000" w:rsidRDefault="00000000" w:rsidRPr="00000000" w14:paraId="00000042">
      <w:pPr>
        <w:numPr>
          <w:ilvl w:val="1"/>
          <w:numId w:val="2"/>
        </w:numPr>
        <w:spacing w:after="80" w:lineRule="auto"/>
        <w:ind w:left="1440" w:hanging="360"/>
        <w:rPr>
          <w:u w:val="none"/>
        </w:rPr>
      </w:pPr>
      <w:r w:rsidDel="00000000" w:rsidR="00000000" w:rsidRPr="00000000">
        <w:rPr>
          <w:rtl w:val="0"/>
        </w:rPr>
        <w:t xml:space="preserve">If not, check if there is anyone we know in the RadHR Community that we think would be well-suited for the request</w:t>
      </w:r>
      <w:r w:rsidDel="00000000" w:rsidR="00000000" w:rsidRPr="00000000">
        <w:rPr>
          <w:rtl w:val="0"/>
        </w:rPr>
        <w:t xml:space="preserve"> (via the facilitators’ pool or specific outreach to relevant individuals)</w:t>
      </w:r>
    </w:p>
    <w:p w:rsidR="00000000" w:rsidDel="00000000" w:rsidP="00000000" w:rsidRDefault="00000000" w:rsidRPr="00000000" w14:paraId="00000043">
      <w:pPr>
        <w:numPr>
          <w:ilvl w:val="2"/>
          <w:numId w:val="2"/>
        </w:numPr>
        <w:spacing w:after="80" w:lineRule="auto"/>
        <w:ind w:left="2160" w:hanging="360"/>
        <w:rPr>
          <w:u w:val="none"/>
        </w:rPr>
      </w:pPr>
      <w:r w:rsidDel="00000000" w:rsidR="00000000" w:rsidRPr="00000000">
        <w:rPr>
          <w:rtl w:val="0"/>
        </w:rPr>
        <w:t xml:space="preserve">If so, go to Step Five</w:t>
      </w:r>
    </w:p>
    <w:p w:rsidR="00000000" w:rsidDel="00000000" w:rsidP="00000000" w:rsidRDefault="00000000" w:rsidRPr="00000000" w14:paraId="00000044">
      <w:pPr>
        <w:numPr>
          <w:ilvl w:val="2"/>
          <w:numId w:val="2"/>
        </w:numPr>
        <w:spacing w:after="80" w:lineRule="auto"/>
        <w:ind w:left="2160" w:hanging="360"/>
        <w:rPr>
          <w:u w:val="none"/>
        </w:rPr>
      </w:pPr>
      <w:r w:rsidDel="00000000" w:rsidR="00000000" w:rsidRPr="00000000">
        <w:rPr>
          <w:rtl w:val="0"/>
        </w:rPr>
        <w:t xml:space="preserve">If not, decline the suggestion/request</w:t>
      </w:r>
    </w:p>
    <w:p w:rsidR="00000000" w:rsidDel="00000000" w:rsidP="00000000" w:rsidRDefault="00000000" w:rsidRPr="00000000" w14:paraId="00000045">
      <w:pPr>
        <w:spacing w:after="80" w:lineRule="auto"/>
        <w:rPr/>
      </w:pPr>
      <w:r w:rsidDel="00000000" w:rsidR="00000000" w:rsidRPr="00000000">
        <w:rPr>
          <w:rtl w:val="0"/>
        </w:rPr>
      </w:r>
    </w:p>
    <w:p w:rsidR="00000000" w:rsidDel="00000000" w:rsidP="00000000" w:rsidRDefault="00000000" w:rsidRPr="00000000" w14:paraId="00000046">
      <w:pPr>
        <w:spacing w:after="80" w:lineRule="auto"/>
        <w:rPr>
          <w:b w:val="1"/>
        </w:rPr>
      </w:pPr>
      <w:r w:rsidDel="00000000" w:rsidR="00000000" w:rsidRPr="00000000">
        <w:rPr>
          <w:b w:val="1"/>
          <w:color w:val="65d0a5"/>
          <w:rtl w:val="0"/>
        </w:rPr>
        <w:t xml:space="preserve">Step 3:</w:t>
      </w:r>
      <w:r w:rsidDel="00000000" w:rsidR="00000000" w:rsidRPr="00000000">
        <w:rPr>
          <w:b w:val="1"/>
          <w:rtl w:val="0"/>
        </w:rPr>
        <w:t xml:space="preserve"> Assessing external criteria</w:t>
      </w:r>
    </w:p>
    <w:p w:rsidR="00000000" w:rsidDel="00000000" w:rsidP="00000000" w:rsidRDefault="00000000" w:rsidRPr="00000000" w14:paraId="00000047">
      <w:pPr>
        <w:numPr>
          <w:ilvl w:val="0"/>
          <w:numId w:val="5"/>
        </w:numPr>
        <w:spacing w:after="80" w:lineRule="auto"/>
        <w:ind w:left="720" w:hanging="360"/>
        <w:rPr>
          <w:u w:val="none"/>
        </w:rPr>
      </w:pPr>
      <w:r w:rsidDel="00000000" w:rsidR="00000000" w:rsidRPr="00000000">
        <w:rPr>
          <w:rtl w:val="0"/>
        </w:rPr>
        <w:t xml:space="preserve">Assess if the request meets the External Criteria listed below:</w:t>
      </w:r>
    </w:p>
    <w:p w:rsidR="00000000" w:rsidDel="00000000" w:rsidP="00000000" w:rsidRDefault="00000000" w:rsidRPr="00000000" w14:paraId="00000048">
      <w:pPr>
        <w:numPr>
          <w:ilvl w:val="1"/>
          <w:numId w:val="5"/>
        </w:numPr>
        <w:spacing w:after="80" w:lineRule="auto"/>
        <w:ind w:left="1440" w:hanging="360"/>
      </w:pPr>
      <w:r w:rsidDel="00000000" w:rsidR="00000000" w:rsidRPr="00000000">
        <w:rPr>
          <w:rtl w:val="0"/>
        </w:rPr>
        <w:t xml:space="preserve">Turnover under £150k</w:t>
      </w:r>
    </w:p>
    <w:p w:rsidR="00000000" w:rsidDel="00000000" w:rsidP="00000000" w:rsidRDefault="00000000" w:rsidRPr="00000000" w14:paraId="00000049">
      <w:pPr>
        <w:numPr>
          <w:ilvl w:val="1"/>
          <w:numId w:val="5"/>
        </w:numPr>
        <w:spacing w:after="80" w:lineRule="auto"/>
        <w:ind w:left="1440" w:hanging="360"/>
      </w:pPr>
      <w:r w:rsidDel="00000000" w:rsidR="00000000" w:rsidRPr="00000000">
        <w:rPr>
          <w:rtl w:val="0"/>
        </w:rPr>
        <w:t xml:space="preserve">Less than 6 staff?</w:t>
      </w:r>
      <w:r w:rsidDel="00000000" w:rsidR="00000000" w:rsidRPr="00000000">
        <w:rPr>
          <w:rtl w:val="0"/>
        </w:rPr>
      </w:r>
    </w:p>
    <w:p w:rsidR="00000000" w:rsidDel="00000000" w:rsidP="00000000" w:rsidRDefault="00000000" w:rsidRPr="00000000" w14:paraId="0000004A">
      <w:pPr>
        <w:numPr>
          <w:ilvl w:val="1"/>
          <w:numId w:val="5"/>
        </w:numPr>
        <w:spacing w:after="80" w:lineRule="auto"/>
        <w:ind w:left="1440" w:hanging="360"/>
      </w:pPr>
      <w:r w:rsidDel="00000000" w:rsidR="00000000" w:rsidRPr="00000000">
        <w:rPr>
          <w:rtl w:val="0"/>
        </w:rPr>
        <w:t xml:space="preserve">Led by people affected by the issues being addressed by the group</w:t>
      </w:r>
      <w:r w:rsidDel="00000000" w:rsidR="00000000" w:rsidRPr="00000000">
        <w:rPr>
          <w:rtl w:val="0"/>
        </w:rPr>
      </w:r>
    </w:p>
    <w:p w:rsidR="00000000" w:rsidDel="00000000" w:rsidP="00000000" w:rsidRDefault="00000000" w:rsidRPr="00000000" w14:paraId="0000004B">
      <w:pPr>
        <w:numPr>
          <w:ilvl w:val="2"/>
          <w:numId w:val="5"/>
        </w:numPr>
        <w:spacing w:after="80" w:lineRule="auto"/>
        <w:ind w:left="2160" w:hanging="360"/>
        <w:rPr>
          <w:u w:val="none"/>
        </w:rPr>
      </w:pPr>
      <w:r w:rsidDel="00000000" w:rsidR="00000000" w:rsidRPr="00000000">
        <w:rPr>
          <w:rtl w:val="0"/>
        </w:rPr>
        <w:t xml:space="preserve">If it meets 3 of 3 criteria, go to Step Four</w:t>
      </w:r>
    </w:p>
    <w:p w:rsidR="00000000" w:rsidDel="00000000" w:rsidP="00000000" w:rsidRDefault="00000000" w:rsidRPr="00000000" w14:paraId="0000004C">
      <w:pPr>
        <w:numPr>
          <w:ilvl w:val="2"/>
          <w:numId w:val="5"/>
        </w:numPr>
        <w:spacing w:after="80" w:lineRule="auto"/>
        <w:ind w:left="2160" w:hanging="360"/>
        <w:rPr>
          <w:u w:val="none"/>
        </w:rPr>
      </w:pPr>
      <w:r w:rsidDel="00000000" w:rsidR="00000000" w:rsidRPr="00000000">
        <w:rPr>
          <w:rtl w:val="0"/>
        </w:rPr>
        <w:t xml:space="preserve">If it meets 2 of 3 criteria, go to Step Four, if there are no strong objections within the Core Team</w:t>
      </w:r>
    </w:p>
    <w:p w:rsidR="00000000" w:rsidDel="00000000" w:rsidP="00000000" w:rsidRDefault="00000000" w:rsidRPr="00000000" w14:paraId="0000004D">
      <w:pPr>
        <w:numPr>
          <w:ilvl w:val="2"/>
          <w:numId w:val="5"/>
        </w:numPr>
        <w:spacing w:after="80" w:lineRule="auto"/>
        <w:ind w:left="2160" w:hanging="360"/>
        <w:rPr>
          <w:u w:val="none"/>
        </w:rPr>
      </w:pPr>
      <w:r w:rsidDel="00000000" w:rsidR="00000000" w:rsidRPr="00000000">
        <w:rPr>
          <w:rtl w:val="0"/>
        </w:rPr>
        <w:t xml:space="preserve">If it meets 1 of 3 criteria, decline the suggestion/request</w:t>
      </w:r>
    </w:p>
    <w:p w:rsidR="00000000" w:rsidDel="00000000" w:rsidP="00000000" w:rsidRDefault="00000000" w:rsidRPr="00000000" w14:paraId="0000004E">
      <w:pPr>
        <w:numPr>
          <w:ilvl w:val="3"/>
          <w:numId w:val="5"/>
        </w:numPr>
        <w:spacing w:after="80" w:lineRule="auto"/>
        <w:ind w:left="2880" w:hanging="360"/>
        <w:rPr>
          <w:u w:val="none"/>
        </w:rPr>
      </w:pPr>
      <w:r w:rsidDel="00000000" w:rsidR="00000000" w:rsidRPr="00000000">
        <w:rPr>
          <w:rtl w:val="0"/>
        </w:rPr>
        <w:t xml:space="preserve">Unless there is a strong reason from a Core Team member to go ahead with it, in which case, go to Step Four.</w:t>
      </w:r>
    </w:p>
    <w:p w:rsidR="00000000" w:rsidDel="00000000" w:rsidP="00000000" w:rsidRDefault="00000000" w:rsidRPr="00000000" w14:paraId="0000004F">
      <w:pPr>
        <w:spacing w:after="80" w:lineRule="auto"/>
        <w:rPr/>
      </w:pPr>
      <w:r w:rsidDel="00000000" w:rsidR="00000000" w:rsidRPr="00000000">
        <w:rPr>
          <w:rtl w:val="0"/>
        </w:rPr>
      </w:r>
    </w:p>
    <w:p w:rsidR="00000000" w:rsidDel="00000000" w:rsidP="00000000" w:rsidRDefault="00000000" w:rsidRPr="00000000" w14:paraId="00000050">
      <w:pPr>
        <w:spacing w:after="80" w:lineRule="auto"/>
        <w:rPr>
          <w:b w:val="1"/>
        </w:rPr>
      </w:pPr>
      <w:r w:rsidDel="00000000" w:rsidR="00000000" w:rsidRPr="00000000">
        <w:rPr>
          <w:b w:val="1"/>
          <w:color w:val="65d0a5"/>
          <w:rtl w:val="0"/>
        </w:rPr>
        <w:t xml:space="preserve">Step 4:</w:t>
      </w:r>
      <w:r w:rsidDel="00000000" w:rsidR="00000000" w:rsidRPr="00000000">
        <w:rPr>
          <w:b w:val="1"/>
          <w:rtl w:val="0"/>
        </w:rPr>
        <w:t xml:space="preserve"> Assessing internal criteria</w:t>
      </w:r>
    </w:p>
    <w:p w:rsidR="00000000" w:rsidDel="00000000" w:rsidP="00000000" w:rsidRDefault="00000000" w:rsidRPr="00000000" w14:paraId="00000051">
      <w:pPr>
        <w:numPr>
          <w:ilvl w:val="0"/>
          <w:numId w:val="10"/>
        </w:numPr>
        <w:spacing w:after="80" w:lineRule="auto"/>
        <w:ind w:left="720" w:hanging="360"/>
      </w:pPr>
      <w:r w:rsidDel="00000000" w:rsidR="00000000" w:rsidRPr="00000000">
        <w:rPr>
          <w:rtl w:val="0"/>
        </w:rPr>
        <w:t xml:space="preserve">Assess if the request meets any of the Internal Criteria </w:t>
      </w:r>
      <w:r w:rsidDel="00000000" w:rsidR="00000000" w:rsidRPr="00000000">
        <w:rPr>
          <w:rtl w:val="0"/>
        </w:rPr>
      </w:r>
    </w:p>
    <w:p w:rsidR="00000000" w:rsidDel="00000000" w:rsidP="00000000" w:rsidRDefault="00000000" w:rsidRPr="00000000" w14:paraId="00000052">
      <w:pPr>
        <w:numPr>
          <w:ilvl w:val="1"/>
          <w:numId w:val="10"/>
        </w:numPr>
        <w:spacing w:after="80" w:lineRule="auto"/>
        <w:ind w:left="1440" w:hanging="360"/>
      </w:pPr>
      <w:r w:rsidDel="00000000" w:rsidR="00000000" w:rsidRPr="00000000">
        <w:rPr>
          <w:rtl w:val="0"/>
        </w:rPr>
        <w:t xml:space="preserve">1) a) </w:t>
      </w:r>
      <w:r w:rsidDel="00000000" w:rsidR="00000000" w:rsidRPr="00000000">
        <w:rPr>
          <w:rtl w:val="0"/>
        </w:rPr>
        <w:t xml:space="preserve">Can the request be met by 1 or 2 members of the Core Team, within existing hours</w:t>
      </w:r>
      <w:r w:rsidDel="00000000" w:rsidR="00000000" w:rsidRPr="00000000">
        <w:rPr>
          <w:rtl w:val="0"/>
        </w:rPr>
        <w:t xml:space="preserve">? OR </w:t>
      </w:r>
    </w:p>
    <w:p w:rsidR="00000000" w:rsidDel="00000000" w:rsidP="00000000" w:rsidRDefault="00000000" w:rsidRPr="00000000" w14:paraId="00000053">
      <w:pPr>
        <w:numPr>
          <w:ilvl w:val="1"/>
          <w:numId w:val="10"/>
        </w:numPr>
        <w:spacing w:after="80" w:lineRule="auto"/>
        <w:ind w:left="1440" w:hanging="360"/>
      </w:pPr>
      <w:r w:rsidDel="00000000" w:rsidR="00000000" w:rsidRPr="00000000">
        <w:rPr>
          <w:rtl w:val="0"/>
        </w:rPr>
        <w:t xml:space="preserve">1) b) </w:t>
      </w:r>
      <w:r w:rsidDel="00000000" w:rsidR="00000000" w:rsidRPr="00000000">
        <w:rPr>
          <w:rtl w:val="0"/>
        </w:rPr>
        <w:t xml:space="preserve">Can the request be met by</w:t>
      </w:r>
      <w:r w:rsidDel="00000000" w:rsidR="00000000" w:rsidRPr="00000000">
        <w:rPr>
          <w:rtl w:val="0"/>
        </w:rPr>
        <w:t xml:space="preserve"> 1 or 2 members of the Core Team, beyond existing hours, if there is sufficient budget</w:t>
      </w:r>
      <w:r w:rsidDel="00000000" w:rsidR="00000000" w:rsidRPr="00000000">
        <w:rPr>
          <w:rtl w:val="0"/>
        </w:rPr>
        <w:t xml:space="preserve"> available to do so, and has been agreed by the Core Team (including additional income from consultancy with funders)?</w:t>
      </w:r>
    </w:p>
    <w:p w:rsidR="00000000" w:rsidDel="00000000" w:rsidP="00000000" w:rsidRDefault="00000000" w:rsidRPr="00000000" w14:paraId="00000054">
      <w:pPr>
        <w:numPr>
          <w:ilvl w:val="2"/>
          <w:numId w:val="10"/>
        </w:numPr>
        <w:spacing w:after="80" w:lineRule="auto"/>
        <w:ind w:left="2160" w:hanging="360"/>
        <w:rPr>
          <w:u w:val="none"/>
        </w:rPr>
      </w:pPr>
      <w:r w:rsidDel="00000000" w:rsidR="00000000" w:rsidRPr="00000000">
        <w:rPr>
          <w:rtl w:val="0"/>
        </w:rPr>
        <w:t xml:space="preserve">If so re: 1) a) OR b), agree who will do it and get in touch with the group who made the request to work out details.</w:t>
      </w:r>
    </w:p>
    <w:p w:rsidR="00000000" w:rsidDel="00000000" w:rsidP="00000000" w:rsidRDefault="00000000" w:rsidRPr="00000000" w14:paraId="00000055">
      <w:pPr>
        <w:numPr>
          <w:ilvl w:val="2"/>
          <w:numId w:val="10"/>
        </w:numPr>
        <w:spacing w:after="80" w:lineRule="auto"/>
        <w:ind w:left="2160" w:hanging="360"/>
        <w:rPr>
          <w:u w:val="none"/>
        </w:rPr>
      </w:pPr>
      <w:r w:rsidDel="00000000" w:rsidR="00000000" w:rsidRPr="00000000">
        <w:rPr>
          <w:rtl w:val="0"/>
        </w:rPr>
        <w:t xml:space="preserve">If ‘no’ to either of the above, go to Step Five. </w:t>
      </w:r>
      <w:r w:rsidDel="00000000" w:rsidR="00000000" w:rsidRPr="00000000">
        <w:rPr>
          <w:rtl w:val="0"/>
        </w:rPr>
      </w:r>
    </w:p>
    <w:p w:rsidR="00000000" w:rsidDel="00000000" w:rsidP="00000000" w:rsidRDefault="00000000" w:rsidRPr="00000000" w14:paraId="00000056">
      <w:pPr>
        <w:spacing w:after="80" w:lineRule="auto"/>
        <w:ind w:left="0" w:firstLine="0"/>
        <w:rPr/>
      </w:pPr>
      <w:r w:rsidDel="00000000" w:rsidR="00000000" w:rsidRPr="00000000">
        <w:rPr>
          <w:rtl w:val="0"/>
        </w:rPr>
      </w:r>
    </w:p>
    <w:p w:rsidR="00000000" w:rsidDel="00000000" w:rsidP="00000000" w:rsidRDefault="00000000" w:rsidRPr="00000000" w14:paraId="00000057">
      <w:pPr>
        <w:spacing w:after="80" w:lineRule="auto"/>
        <w:rPr>
          <w:b w:val="1"/>
        </w:rPr>
      </w:pPr>
      <w:r w:rsidDel="00000000" w:rsidR="00000000" w:rsidRPr="00000000">
        <w:rPr>
          <w:b w:val="1"/>
          <w:color w:val="65d0a5"/>
          <w:rtl w:val="0"/>
        </w:rPr>
        <w:t xml:space="preserve">Step 5:</w:t>
      </w:r>
      <w:r w:rsidDel="00000000" w:rsidR="00000000" w:rsidRPr="00000000">
        <w:rPr>
          <w:b w:val="1"/>
          <w:rtl w:val="0"/>
        </w:rPr>
        <w:t xml:space="preserve"> Considering external facilitation</w:t>
      </w:r>
    </w:p>
    <w:p w:rsidR="00000000" w:rsidDel="00000000" w:rsidP="00000000" w:rsidRDefault="00000000" w:rsidRPr="00000000" w14:paraId="00000058">
      <w:pPr>
        <w:numPr>
          <w:ilvl w:val="0"/>
          <w:numId w:val="8"/>
        </w:numPr>
        <w:spacing w:after="80" w:lineRule="auto"/>
        <w:ind w:left="720" w:hanging="360"/>
      </w:pPr>
      <w:r w:rsidDel="00000000" w:rsidR="00000000" w:rsidRPr="00000000">
        <w:rPr>
          <w:rtl w:val="0"/>
        </w:rPr>
        <w:t xml:space="preserve">I</w:t>
      </w:r>
      <w:r w:rsidDel="00000000" w:rsidR="00000000" w:rsidRPr="00000000">
        <w:rPr>
          <w:rtl w:val="0"/>
        </w:rPr>
        <w:t xml:space="preserve">s there sufficient surplus in another budget line that has been agreed by the Core Team</w:t>
      </w:r>
      <w:r w:rsidDel="00000000" w:rsidR="00000000" w:rsidRPr="00000000">
        <w:rPr>
          <w:rtl w:val="0"/>
        </w:rPr>
        <w:t xml:space="preserve"> to pay someone external to facilitate/co-facilitate </w:t>
      </w:r>
      <w:r w:rsidDel="00000000" w:rsidR="00000000" w:rsidRPr="00000000">
        <w:rPr>
          <w:rtl w:val="0"/>
        </w:rPr>
        <w:t xml:space="preserve">(including additional income from consultancy with funders)</w:t>
      </w:r>
      <w:r w:rsidDel="00000000" w:rsidR="00000000" w:rsidRPr="00000000">
        <w:rPr>
          <w:rtl w:val="0"/>
        </w:rPr>
        <w:t xml:space="preserve">?</w:t>
      </w:r>
    </w:p>
    <w:p w:rsidR="00000000" w:rsidDel="00000000" w:rsidP="00000000" w:rsidRDefault="00000000" w:rsidRPr="00000000" w14:paraId="00000059">
      <w:pPr>
        <w:numPr>
          <w:ilvl w:val="1"/>
          <w:numId w:val="8"/>
        </w:numPr>
        <w:spacing w:after="80" w:lineRule="auto"/>
        <w:ind w:left="1440" w:hanging="360"/>
        <w:rPr>
          <w:u w:val="none"/>
        </w:rPr>
      </w:pPr>
      <w:r w:rsidDel="00000000" w:rsidR="00000000" w:rsidRPr="00000000">
        <w:rPr>
          <w:rtl w:val="0"/>
        </w:rPr>
        <w:t xml:space="preserve">If yes, does the Core Team have s</w:t>
      </w:r>
      <w:r w:rsidDel="00000000" w:rsidR="00000000" w:rsidRPr="00000000">
        <w:rPr>
          <w:rtl w:val="0"/>
        </w:rPr>
        <w:t xml:space="preserve">hared confidence/trust that the particular external </w:t>
      </w:r>
      <w:r w:rsidDel="00000000" w:rsidR="00000000" w:rsidRPr="00000000">
        <w:rPr>
          <w:rtl w:val="0"/>
        </w:rPr>
        <w:t xml:space="preserve">person ‘gets’ radical HR</w:t>
      </w:r>
      <w:r w:rsidDel="00000000" w:rsidR="00000000" w:rsidRPr="00000000">
        <w:rPr>
          <w:rtl w:val="0"/>
        </w:rPr>
        <w:t xml:space="preserve">. This includes things like:</w:t>
      </w:r>
    </w:p>
    <w:p w:rsidR="00000000" w:rsidDel="00000000" w:rsidP="00000000" w:rsidRDefault="00000000" w:rsidRPr="00000000" w14:paraId="0000005A">
      <w:pPr>
        <w:numPr>
          <w:ilvl w:val="2"/>
          <w:numId w:val="8"/>
        </w:numPr>
        <w:spacing w:after="80" w:lineRule="auto"/>
        <w:ind w:left="2160" w:hanging="360"/>
      </w:pPr>
      <w:r w:rsidDel="00000000" w:rsidR="00000000" w:rsidRPr="00000000">
        <w:rPr>
          <w:rtl w:val="0"/>
        </w:rPr>
        <w:t xml:space="preserve">Understandings of how oppressions/power inequalities play out within group and organisational spaces</w:t>
      </w:r>
    </w:p>
    <w:p w:rsidR="00000000" w:rsidDel="00000000" w:rsidP="00000000" w:rsidRDefault="00000000" w:rsidRPr="00000000" w14:paraId="0000005B">
      <w:pPr>
        <w:numPr>
          <w:ilvl w:val="2"/>
          <w:numId w:val="8"/>
        </w:numPr>
        <w:spacing w:after="80" w:lineRule="auto"/>
        <w:ind w:left="2160" w:hanging="360"/>
      </w:pPr>
      <w:r w:rsidDel="00000000" w:rsidR="00000000" w:rsidRPr="00000000">
        <w:rPr>
          <w:rtl w:val="0"/>
        </w:rPr>
        <w:t xml:space="preserve">A belief that doing things differently within our spaces is both ethically important and essential to groups’ abilities to achieve wider change</w:t>
      </w:r>
    </w:p>
    <w:p w:rsidR="00000000" w:rsidDel="00000000" w:rsidP="00000000" w:rsidRDefault="00000000" w:rsidRPr="00000000" w14:paraId="0000005C">
      <w:pPr>
        <w:numPr>
          <w:ilvl w:val="2"/>
          <w:numId w:val="8"/>
        </w:numPr>
        <w:spacing w:after="80" w:lineRule="auto"/>
        <w:ind w:left="2160" w:hanging="360"/>
      </w:pPr>
      <w:r w:rsidDel="00000000" w:rsidR="00000000" w:rsidRPr="00000000">
        <w:rPr>
          <w:rtl w:val="0"/>
        </w:rPr>
        <w:t xml:space="preserve">Appreciation of the messiness, complexities and contradictions of working to shift established power dynamics and group cultures</w:t>
      </w:r>
    </w:p>
    <w:p w:rsidR="00000000" w:rsidDel="00000000" w:rsidP="00000000" w:rsidRDefault="00000000" w:rsidRPr="00000000" w14:paraId="0000005D">
      <w:pPr>
        <w:numPr>
          <w:ilvl w:val="2"/>
          <w:numId w:val="8"/>
        </w:numPr>
        <w:spacing w:after="80" w:lineRule="auto"/>
        <w:ind w:left="2160" w:hanging="360"/>
      </w:pPr>
      <w:r w:rsidDel="00000000" w:rsidR="00000000" w:rsidRPr="00000000">
        <w:rPr>
          <w:rtl w:val="0"/>
        </w:rPr>
        <w:t xml:space="preserve">Has experience of ‘doing’ radical HR and can communicate about it.</w:t>
      </w:r>
    </w:p>
    <w:p w:rsidR="00000000" w:rsidDel="00000000" w:rsidP="00000000" w:rsidRDefault="00000000" w:rsidRPr="00000000" w14:paraId="0000005E">
      <w:pPr>
        <w:numPr>
          <w:ilvl w:val="3"/>
          <w:numId w:val="8"/>
        </w:numPr>
        <w:spacing w:after="80" w:lineRule="auto"/>
        <w:ind w:left="2880" w:hanging="360"/>
        <w:rPr>
          <w:u w:val="none"/>
        </w:rPr>
      </w:pPr>
      <w:r w:rsidDel="00000000" w:rsidR="00000000" w:rsidRPr="00000000">
        <w:rPr>
          <w:rtl w:val="0"/>
        </w:rPr>
        <w:t xml:space="preserve">If so, someone will contact the external person to check their availability and interest, and if they are keen, put them in touch with the group that reached out.</w:t>
      </w:r>
    </w:p>
    <w:p w:rsidR="00000000" w:rsidDel="00000000" w:rsidP="00000000" w:rsidRDefault="00000000" w:rsidRPr="00000000" w14:paraId="0000005F">
      <w:pPr>
        <w:numPr>
          <w:ilvl w:val="3"/>
          <w:numId w:val="8"/>
        </w:numPr>
        <w:spacing w:after="80" w:lineRule="auto"/>
        <w:ind w:left="2880" w:hanging="360"/>
        <w:rPr>
          <w:u w:val="none"/>
        </w:rPr>
      </w:pPr>
      <w:r w:rsidDel="00000000" w:rsidR="00000000" w:rsidRPr="00000000">
        <w:rPr>
          <w:rtl w:val="0"/>
        </w:rPr>
        <w:t xml:space="preserve">If not, </w:t>
      </w:r>
      <w:r w:rsidDel="00000000" w:rsidR="00000000" w:rsidRPr="00000000">
        <w:rPr>
          <w:rtl w:val="0"/>
        </w:rPr>
        <w:t xml:space="preserve">decline the suggestion/request</w:t>
      </w:r>
      <w:r w:rsidDel="00000000" w:rsidR="00000000" w:rsidRPr="00000000">
        <w:rPr>
          <w:rtl w:val="0"/>
        </w:rPr>
      </w:r>
    </w:p>
    <w:p w:rsidR="00000000" w:rsidDel="00000000" w:rsidP="00000000" w:rsidRDefault="00000000" w:rsidRPr="00000000" w14:paraId="00000060">
      <w:pPr>
        <w:numPr>
          <w:ilvl w:val="1"/>
          <w:numId w:val="8"/>
        </w:numPr>
        <w:ind w:left="1440" w:hanging="360"/>
        <w:rPr>
          <w:u w:val="none"/>
        </w:rPr>
      </w:pPr>
      <w:r w:rsidDel="00000000" w:rsidR="00000000" w:rsidRPr="00000000">
        <w:rPr>
          <w:rtl w:val="0"/>
        </w:rPr>
        <w:t xml:space="preserve">If not, decline the suggestion/request</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pStyle w:val="Heading2"/>
        <w:rPr>
          <w:b w:val="1"/>
          <w:i w:val="1"/>
        </w:rPr>
      </w:pPr>
      <w:bookmarkStart w:colFirst="0" w:colLast="0" w:name="_52dy7x1esnfv" w:id="10"/>
      <w:bookmarkEnd w:id="10"/>
      <w:r w:rsidDel="00000000" w:rsidR="00000000" w:rsidRPr="00000000">
        <w:rPr>
          <w:rtl w:val="0"/>
        </w:rPr>
        <w:t xml:space="preserve">S</w:t>
      </w:r>
      <w:r w:rsidDel="00000000" w:rsidR="00000000" w:rsidRPr="00000000">
        <w:rPr>
          <w:rtl w:val="0"/>
        </w:rPr>
        <w:t xml:space="preserve">liding scale workshop pricing</w:t>
      </w:r>
      <w:r w:rsidDel="00000000" w:rsidR="00000000" w:rsidRPr="00000000">
        <w:rPr>
          <w:rtl w:val="0"/>
        </w:rPr>
      </w:r>
    </w:p>
    <w:tbl>
      <w:tblPr>
        <w:tblStyle w:val="Table3"/>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b w:val="1"/>
                <w:i w:val="1"/>
                <w:rtl w:val="0"/>
              </w:rPr>
              <w:t xml:space="preserve">N.B. </w:t>
            </w:r>
            <w:r w:rsidDel="00000000" w:rsidR="00000000" w:rsidRPr="00000000">
              <w:rPr>
                <w:i w:val="1"/>
                <w:rtl w:val="0"/>
              </w:rPr>
              <w:t xml:space="preserve">Some smaller organisations will qualify for free workshops, based on the criteria outlined in ‘</w:t>
            </w:r>
            <w:hyperlink w:anchor="_11r86dvtq2uk">
              <w:r w:rsidDel="00000000" w:rsidR="00000000" w:rsidRPr="00000000">
                <w:rPr>
                  <w:i w:val="1"/>
                  <w:color w:val="1155cc"/>
                  <w:u w:val="single"/>
                  <w:rtl w:val="0"/>
                </w:rPr>
                <w:t xml:space="preserve">Criteria for offering free workshops</w:t>
              </w:r>
            </w:hyperlink>
            <w:r w:rsidDel="00000000" w:rsidR="00000000" w:rsidRPr="00000000">
              <w:rPr>
                <w:i w:val="1"/>
                <w:rtl w:val="0"/>
              </w:rPr>
              <w:t xml:space="preserve">’ section. These costs would be covered by allocating core staff time or via income generated from consultancy with larger organisations.</w:t>
            </w:r>
          </w:p>
        </w:tc>
      </w:tr>
    </w:tbl>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Figures based on:</w:t>
      </w:r>
    </w:p>
    <w:p w:rsidR="00000000" w:rsidDel="00000000" w:rsidP="00000000" w:rsidRDefault="00000000" w:rsidRPr="00000000" w14:paraId="00000066">
      <w:pPr>
        <w:numPr>
          <w:ilvl w:val="0"/>
          <w:numId w:val="7"/>
        </w:numPr>
        <w:ind w:left="720" w:hanging="360"/>
        <w:rPr/>
      </w:pPr>
      <w:r w:rsidDel="00000000" w:rsidR="00000000" w:rsidRPr="00000000">
        <w:rPr>
          <w:rtl w:val="0"/>
        </w:rPr>
        <w:t xml:space="preserve">Day rate of £230/day per facilitator as the baseline (inc. 15% average uplift)</w:t>
      </w:r>
    </w:p>
    <w:p w:rsidR="00000000" w:rsidDel="00000000" w:rsidP="00000000" w:rsidRDefault="00000000" w:rsidRPr="00000000" w14:paraId="00000067">
      <w:pPr>
        <w:numPr>
          <w:ilvl w:val="0"/>
          <w:numId w:val="7"/>
        </w:numPr>
        <w:ind w:left="720" w:hanging="360"/>
        <w:rPr/>
      </w:pPr>
      <w:r w:rsidDel="00000000" w:rsidR="00000000" w:rsidRPr="00000000">
        <w:rPr>
          <w:rtl w:val="0"/>
        </w:rPr>
        <w:t xml:space="preserve">Half-day delivery = 1 day/facilitator</w:t>
      </w:r>
    </w:p>
    <w:p w:rsidR="00000000" w:rsidDel="00000000" w:rsidP="00000000" w:rsidRDefault="00000000" w:rsidRPr="00000000" w14:paraId="00000068">
      <w:pPr>
        <w:numPr>
          <w:ilvl w:val="0"/>
          <w:numId w:val="7"/>
        </w:numPr>
        <w:ind w:left="720" w:hanging="360"/>
        <w:rPr/>
      </w:pPr>
      <w:r w:rsidDel="00000000" w:rsidR="00000000" w:rsidRPr="00000000">
        <w:rPr>
          <w:rtl w:val="0"/>
        </w:rPr>
        <w:t xml:space="preserve">Full-day delivery = min. 2 days/facilitator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Criteria for 1 vs 2 facilitators:</w:t>
      </w:r>
      <w:r w:rsidDel="00000000" w:rsidR="00000000" w:rsidRPr="00000000">
        <w:rPr>
          <w:rtl w:val="0"/>
        </w:rPr>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Group size (more than 8 participants, on average)</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Conflict/challenging dynamics</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Certain types of policies that we know are especially thorny/complex</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Facilitator confidence in the particular policy area</w:t>
      </w:r>
      <w:r w:rsidDel="00000000" w:rsidR="00000000" w:rsidRPr="00000000">
        <w:rPr>
          <w:rtl w:val="0"/>
        </w:rPr>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If the particular workshop has been run two or fewer times</w:t>
      </w:r>
    </w:p>
    <w:p w:rsidR="00000000" w:rsidDel="00000000" w:rsidP="00000000" w:rsidRDefault="00000000" w:rsidRPr="00000000" w14:paraId="00000070">
      <w:pPr>
        <w:rPr/>
      </w:pPr>
      <w:r w:rsidDel="00000000" w:rsidR="00000000" w:rsidRPr="00000000">
        <w:rPr>
          <w:rtl w:val="0"/>
        </w:rPr>
      </w:r>
    </w:p>
    <w:tbl>
      <w:tblPr>
        <w:tblStyle w:val="Table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3135"/>
        <w:gridCol w:w="3435"/>
        <w:tblGridChange w:id="0">
          <w:tblGrid>
            <w:gridCol w:w="2340"/>
            <w:gridCol w:w="3135"/>
            <w:gridCol w:w="3435"/>
          </w:tblGrid>
        </w:tblGridChange>
      </w:tblGrid>
      <w:tr>
        <w:trPr>
          <w:cantSplit w:val="0"/>
          <w:trHeight w:val="405" w:hRule="atLeast"/>
          <w:tblHeader w:val="0"/>
        </w:trPr>
        <w:tc>
          <w:tcPr>
            <w:gridSpan w:val="3"/>
            <w:tcBorders>
              <w:top w:color="d9d9d9" w:space="0" w:sz="6" w:val="single"/>
              <w:left w:color="d9d9d9" w:space="0" w:sz="6" w:val="single"/>
              <w:bottom w:color="d9d9d9" w:space="0" w:sz="6" w:val="single"/>
              <w:right w:color="d9d9d9"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71">
            <w:pPr>
              <w:widowControl w:val="0"/>
              <w:rPr>
                <w:rFonts w:ascii="Arial" w:cs="Arial" w:eastAsia="Arial" w:hAnsi="Arial"/>
                <w:color w:val="000000"/>
                <w:sz w:val="20"/>
                <w:szCs w:val="20"/>
              </w:rPr>
            </w:pPr>
            <w:r w:rsidDel="00000000" w:rsidR="00000000" w:rsidRPr="00000000">
              <w:rPr>
                <w:b w:val="1"/>
                <w:sz w:val="28"/>
                <w:szCs w:val="28"/>
                <w:rtl w:val="0"/>
              </w:rPr>
              <w:t xml:space="preserve">Small under £150k income</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rFonts w:ascii="Arial" w:cs="Arial" w:eastAsia="Arial" w:hAnsi="Arial"/>
                <w:color w:val="000000"/>
                <w:sz w:val="20"/>
                <w:szCs w:val="20"/>
              </w:rPr>
            </w:pPr>
            <w:r w:rsidDel="00000000" w:rsidR="00000000" w:rsidRPr="00000000">
              <w:rPr>
                <w:rtl w:val="0"/>
              </w:rPr>
              <w:t xml:space="preserve">inc. prep &amp; delivery</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jc w:val="right"/>
              <w:rPr>
                <w:rFonts w:ascii="Arial" w:cs="Arial" w:eastAsia="Arial" w:hAnsi="Arial"/>
                <w:color w:val="000000"/>
                <w:sz w:val="20"/>
                <w:szCs w:val="20"/>
              </w:rPr>
            </w:pPr>
            <w:r w:rsidDel="00000000" w:rsidR="00000000" w:rsidRPr="00000000">
              <w:rPr>
                <w:b w:val="1"/>
                <w:rtl w:val="0"/>
              </w:rPr>
              <w:t xml:space="preserve">1 facilitator</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jc w:val="right"/>
              <w:rPr>
                <w:rFonts w:ascii="Arial" w:cs="Arial" w:eastAsia="Arial" w:hAnsi="Arial"/>
                <w:color w:val="000000"/>
                <w:sz w:val="20"/>
                <w:szCs w:val="20"/>
              </w:rPr>
            </w:pPr>
            <w:r w:rsidDel="00000000" w:rsidR="00000000" w:rsidRPr="00000000">
              <w:rPr>
                <w:b w:val="1"/>
                <w:rtl w:val="0"/>
              </w:rPr>
              <w:t xml:space="preserve">2 facilitators</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rFonts w:ascii="Arial" w:cs="Arial" w:eastAsia="Arial" w:hAnsi="Arial"/>
                <w:color w:val="000000"/>
                <w:sz w:val="20"/>
                <w:szCs w:val="20"/>
              </w:rPr>
            </w:pPr>
            <w:r w:rsidDel="00000000" w:rsidR="00000000" w:rsidRPr="00000000">
              <w:rPr>
                <w:b w:val="1"/>
                <w:rtl w:val="0"/>
              </w:rPr>
              <w:t xml:space="preserve">Half-day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jc w:val="right"/>
              <w:rPr>
                <w:rFonts w:ascii="Arial" w:cs="Arial" w:eastAsia="Arial" w:hAnsi="Arial"/>
                <w:color w:val="000000"/>
                <w:sz w:val="20"/>
                <w:szCs w:val="20"/>
              </w:rPr>
            </w:pPr>
            <w:r w:rsidDel="00000000" w:rsidR="00000000" w:rsidRPr="00000000">
              <w:rPr>
                <w:rtl w:val="0"/>
              </w:rPr>
              <w:t xml:space="preserve">£230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jc w:val="right"/>
              <w:rPr>
                <w:rFonts w:ascii="Arial" w:cs="Arial" w:eastAsia="Arial" w:hAnsi="Arial"/>
                <w:color w:val="000000"/>
                <w:sz w:val="20"/>
                <w:szCs w:val="20"/>
              </w:rPr>
            </w:pPr>
            <w:r w:rsidDel="00000000" w:rsidR="00000000" w:rsidRPr="00000000">
              <w:rPr>
                <w:rtl w:val="0"/>
              </w:rPr>
              <w:t xml:space="preserve">£460</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rFonts w:ascii="Arial" w:cs="Arial" w:eastAsia="Arial" w:hAnsi="Arial"/>
                <w:color w:val="000000"/>
                <w:sz w:val="20"/>
                <w:szCs w:val="20"/>
              </w:rPr>
            </w:pPr>
            <w:r w:rsidDel="00000000" w:rsidR="00000000" w:rsidRPr="00000000">
              <w:rPr>
                <w:b w:val="1"/>
                <w:rtl w:val="0"/>
              </w:rPr>
              <w:t xml:space="preserve">Full-day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jc w:val="right"/>
              <w:rPr>
                <w:rFonts w:ascii="Arial" w:cs="Arial" w:eastAsia="Arial" w:hAnsi="Arial"/>
                <w:color w:val="000000"/>
                <w:sz w:val="20"/>
                <w:szCs w:val="20"/>
              </w:rPr>
            </w:pPr>
            <w:r w:rsidDel="00000000" w:rsidR="00000000" w:rsidRPr="00000000">
              <w:rPr>
                <w:rtl w:val="0"/>
              </w:rPr>
              <w:t xml:space="preserve">£460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jc w:val="right"/>
              <w:rPr>
                <w:rFonts w:ascii="Arial" w:cs="Arial" w:eastAsia="Arial" w:hAnsi="Arial"/>
                <w:color w:val="000000"/>
                <w:sz w:val="20"/>
                <w:szCs w:val="20"/>
              </w:rPr>
            </w:pPr>
            <w:r w:rsidDel="00000000" w:rsidR="00000000" w:rsidRPr="00000000">
              <w:rPr>
                <w:rtl w:val="0"/>
              </w:rPr>
              <w:t xml:space="preserve">£920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d9d9d9"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rFonts w:ascii="Arial" w:cs="Arial" w:eastAsia="Arial" w:hAnsi="Arial"/>
                <w:color w:val="000000"/>
                <w:sz w:val="20"/>
                <w:szCs w:val="20"/>
              </w:rPr>
            </w:pPr>
            <w:r w:rsidDel="00000000" w:rsidR="00000000" w:rsidRPr="00000000">
              <w:rPr>
                <w:rtl w:val="0"/>
              </w:rPr>
            </w:r>
          </w:p>
        </w:tc>
        <w:tc>
          <w:tcPr>
            <w:tcBorders>
              <w:top w:color="cccccc" w:space="0" w:sz="6" w:val="single"/>
              <w:left w:color="cccccc" w:space="0" w:sz="6" w:val="single"/>
              <w:bottom w:color="d9d9d9"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rFonts w:ascii="Arial" w:cs="Arial" w:eastAsia="Arial" w:hAnsi="Arial"/>
                <w:color w:val="000000"/>
                <w:sz w:val="20"/>
                <w:szCs w:val="20"/>
              </w:rPr>
            </w:pPr>
            <w:r w:rsidDel="00000000" w:rsidR="00000000" w:rsidRPr="00000000">
              <w:rPr>
                <w:rtl w:val="0"/>
              </w:rPr>
            </w:r>
          </w:p>
        </w:tc>
        <w:tc>
          <w:tcPr>
            <w:tcBorders>
              <w:top w:color="cccccc" w:space="0" w:sz="6" w:val="single"/>
              <w:left w:color="cccccc" w:space="0" w:sz="6" w:val="single"/>
              <w:bottom w:color="d9d9d9"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rFonts w:ascii="Arial" w:cs="Arial" w:eastAsia="Arial" w:hAnsi="Arial"/>
                <w:color w:val="000000"/>
                <w:sz w:val="20"/>
                <w:szCs w:val="20"/>
              </w:rPr>
            </w:pPr>
            <w:r w:rsidDel="00000000" w:rsidR="00000000" w:rsidRPr="00000000">
              <w:rPr>
                <w:rtl w:val="0"/>
              </w:rPr>
            </w:r>
          </w:p>
        </w:tc>
      </w:tr>
      <w:tr>
        <w:trPr>
          <w:cantSplit w:val="0"/>
          <w:trHeight w:val="405" w:hRule="atLeast"/>
          <w:tblHeader w:val="0"/>
        </w:trPr>
        <w:tc>
          <w:tcPr>
            <w:gridSpan w:val="3"/>
            <w:tcBorders>
              <w:top w:color="cccccc" w:space="0" w:sz="6" w:val="single"/>
              <w:left w:color="d9d9d9" w:space="0" w:sz="6" w:val="single"/>
              <w:bottom w:color="d9d9d9" w:space="0" w:sz="6" w:val="single"/>
              <w:right w:color="d9d9d9" w:space="0" w:sz="6" w:val="single"/>
            </w:tcBorders>
            <w:shd w:fill="9fc5e8" w:val="clear"/>
            <w:tcMar>
              <w:top w:w="40.0" w:type="dxa"/>
              <w:left w:w="40.0" w:type="dxa"/>
              <w:bottom w:w="40.0" w:type="dxa"/>
              <w:right w:w="40.0" w:type="dxa"/>
            </w:tcMar>
            <w:vAlign w:val="bottom"/>
          </w:tcPr>
          <w:p w:rsidR="00000000" w:rsidDel="00000000" w:rsidP="00000000" w:rsidRDefault="00000000" w:rsidRPr="00000000" w14:paraId="00000080">
            <w:pPr>
              <w:widowControl w:val="0"/>
              <w:rPr>
                <w:rFonts w:ascii="Arial" w:cs="Arial" w:eastAsia="Arial" w:hAnsi="Arial"/>
                <w:color w:val="000000"/>
                <w:sz w:val="20"/>
                <w:szCs w:val="20"/>
              </w:rPr>
            </w:pPr>
            <w:r w:rsidDel="00000000" w:rsidR="00000000" w:rsidRPr="00000000">
              <w:rPr>
                <w:b w:val="1"/>
                <w:sz w:val="28"/>
                <w:szCs w:val="28"/>
                <w:rtl w:val="0"/>
              </w:rPr>
              <w:t xml:space="preserve">Medium £150k–£500k income</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rFonts w:ascii="Arial" w:cs="Arial" w:eastAsia="Arial" w:hAnsi="Arial"/>
                <w:color w:val="000000"/>
                <w:sz w:val="20"/>
                <w:szCs w:val="20"/>
              </w:rPr>
            </w:pPr>
            <w:r w:rsidDel="00000000" w:rsidR="00000000" w:rsidRPr="00000000">
              <w:rPr>
                <w:rtl w:val="0"/>
              </w:rPr>
              <w:t xml:space="preserve">inc. prep &amp; delivery</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jc w:val="right"/>
              <w:rPr>
                <w:rFonts w:ascii="Arial" w:cs="Arial" w:eastAsia="Arial" w:hAnsi="Arial"/>
                <w:color w:val="000000"/>
                <w:sz w:val="20"/>
                <w:szCs w:val="20"/>
              </w:rPr>
            </w:pPr>
            <w:r w:rsidDel="00000000" w:rsidR="00000000" w:rsidRPr="00000000">
              <w:rPr>
                <w:b w:val="1"/>
                <w:rtl w:val="0"/>
              </w:rPr>
              <w:t xml:space="preserve">1 facilitator</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jc w:val="right"/>
              <w:rPr>
                <w:rFonts w:ascii="Arial" w:cs="Arial" w:eastAsia="Arial" w:hAnsi="Arial"/>
                <w:color w:val="000000"/>
                <w:sz w:val="20"/>
                <w:szCs w:val="20"/>
              </w:rPr>
            </w:pPr>
            <w:r w:rsidDel="00000000" w:rsidR="00000000" w:rsidRPr="00000000">
              <w:rPr>
                <w:b w:val="1"/>
                <w:rtl w:val="0"/>
              </w:rPr>
              <w:t xml:space="preserve">2 facilitators</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rFonts w:ascii="Arial" w:cs="Arial" w:eastAsia="Arial" w:hAnsi="Arial"/>
                <w:color w:val="000000"/>
                <w:sz w:val="20"/>
                <w:szCs w:val="20"/>
              </w:rPr>
            </w:pPr>
            <w:r w:rsidDel="00000000" w:rsidR="00000000" w:rsidRPr="00000000">
              <w:rPr>
                <w:b w:val="1"/>
                <w:rtl w:val="0"/>
              </w:rPr>
              <w:t xml:space="preserve">Half-day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jc w:val="right"/>
              <w:rPr>
                <w:rFonts w:ascii="Arial" w:cs="Arial" w:eastAsia="Arial" w:hAnsi="Arial"/>
                <w:color w:val="000000"/>
                <w:sz w:val="20"/>
                <w:szCs w:val="20"/>
              </w:rPr>
            </w:pPr>
            <w:r w:rsidDel="00000000" w:rsidR="00000000" w:rsidRPr="00000000">
              <w:rPr>
                <w:rtl w:val="0"/>
              </w:rPr>
              <w:t xml:space="preserve">£460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jc w:val="right"/>
              <w:rPr>
                <w:rFonts w:ascii="Arial" w:cs="Arial" w:eastAsia="Arial" w:hAnsi="Arial"/>
                <w:color w:val="000000"/>
                <w:sz w:val="20"/>
                <w:szCs w:val="20"/>
              </w:rPr>
            </w:pPr>
            <w:r w:rsidDel="00000000" w:rsidR="00000000" w:rsidRPr="00000000">
              <w:rPr>
                <w:rtl w:val="0"/>
              </w:rPr>
              <w:t xml:space="preserve">£920</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rFonts w:ascii="Arial" w:cs="Arial" w:eastAsia="Arial" w:hAnsi="Arial"/>
                <w:color w:val="000000"/>
                <w:sz w:val="20"/>
                <w:szCs w:val="20"/>
              </w:rPr>
            </w:pPr>
            <w:r w:rsidDel="00000000" w:rsidR="00000000" w:rsidRPr="00000000">
              <w:rPr>
                <w:b w:val="1"/>
                <w:rtl w:val="0"/>
              </w:rPr>
              <w:t xml:space="preserve">Full-day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jc w:val="right"/>
              <w:rPr>
                <w:rFonts w:ascii="Arial" w:cs="Arial" w:eastAsia="Arial" w:hAnsi="Arial"/>
                <w:color w:val="000000"/>
                <w:sz w:val="20"/>
                <w:szCs w:val="20"/>
              </w:rPr>
            </w:pPr>
            <w:r w:rsidDel="00000000" w:rsidR="00000000" w:rsidRPr="00000000">
              <w:rPr>
                <w:rtl w:val="0"/>
              </w:rPr>
              <w:t xml:space="preserve">£920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jc w:val="right"/>
              <w:rPr>
                <w:rFonts w:ascii="Arial" w:cs="Arial" w:eastAsia="Arial" w:hAnsi="Arial"/>
                <w:color w:val="000000"/>
                <w:sz w:val="20"/>
                <w:szCs w:val="20"/>
              </w:rPr>
            </w:pPr>
            <w:r w:rsidDel="00000000" w:rsidR="00000000" w:rsidRPr="00000000">
              <w:rPr>
                <w:rtl w:val="0"/>
              </w:rPr>
              <w:t xml:space="preserve">£1,840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d9d9d9"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rFonts w:ascii="Arial" w:cs="Arial" w:eastAsia="Arial" w:hAnsi="Arial"/>
                <w:color w:val="000000"/>
                <w:sz w:val="20"/>
                <w:szCs w:val="20"/>
              </w:rPr>
            </w:pPr>
            <w:r w:rsidDel="00000000" w:rsidR="00000000" w:rsidRPr="00000000">
              <w:rPr>
                <w:rtl w:val="0"/>
              </w:rPr>
            </w:r>
          </w:p>
        </w:tc>
        <w:tc>
          <w:tcPr>
            <w:tcBorders>
              <w:top w:color="cccccc" w:space="0" w:sz="6" w:val="single"/>
              <w:left w:color="cccccc" w:space="0" w:sz="6" w:val="single"/>
              <w:bottom w:color="d9d9d9"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rFonts w:ascii="Arial" w:cs="Arial" w:eastAsia="Arial" w:hAnsi="Arial"/>
                <w:color w:val="000000"/>
                <w:sz w:val="20"/>
                <w:szCs w:val="20"/>
              </w:rPr>
            </w:pPr>
            <w:r w:rsidDel="00000000" w:rsidR="00000000" w:rsidRPr="00000000">
              <w:rPr>
                <w:rtl w:val="0"/>
              </w:rPr>
            </w:r>
          </w:p>
        </w:tc>
        <w:tc>
          <w:tcPr>
            <w:tcBorders>
              <w:top w:color="cccccc" w:space="0" w:sz="6" w:val="single"/>
              <w:left w:color="cccccc" w:space="0" w:sz="6" w:val="single"/>
              <w:bottom w:color="d9d9d9"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rFonts w:ascii="Arial" w:cs="Arial" w:eastAsia="Arial" w:hAnsi="Arial"/>
                <w:color w:val="000000"/>
                <w:sz w:val="20"/>
                <w:szCs w:val="20"/>
              </w:rPr>
            </w:pPr>
            <w:r w:rsidDel="00000000" w:rsidR="00000000" w:rsidRPr="00000000">
              <w:rPr>
                <w:rtl w:val="0"/>
              </w:rPr>
            </w:r>
          </w:p>
        </w:tc>
      </w:tr>
      <w:tr>
        <w:trPr>
          <w:cantSplit w:val="0"/>
          <w:trHeight w:val="405" w:hRule="atLeast"/>
          <w:tblHeader w:val="0"/>
        </w:trPr>
        <w:tc>
          <w:tcPr>
            <w:gridSpan w:val="3"/>
            <w:tcBorders>
              <w:top w:color="cccccc" w:space="0" w:sz="6" w:val="single"/>
              <w:left w:color="d9d9d9" w:space="0" w:sz="6" w:val="single"/>
              <w:bottom w:color="d9d9d9" w:space="0" w:sz="6" w:val="single"/>
              <w:right w:color="d9d9d9" w:space="0" w:sz="6" w:val="single"/>
            </w:tcBorders>
            <w:shd w:fill="9fc5e8" w:val="clear"/>
            <w:tcMar>
              <w:top w:w="40.0" w:type="dxa"/>
              <w:left w:w="40.0" w:type="dxa"/>
              <w:bottom w:w="40.0" w:type="dxa"/>
              <w:right w:w="40.0" w:type="dxa"/>
            </w:tcMar>
            <w:vAlign w:val="bottom"/>
          </w:tcPr>
          <w:p w:rsidR="00000000" w:rsidDel="00000000" w:rsidP="00000000" w:rsidRDefault="00000000" w:rsidRPr="00000000" w14:paraId="0000008F">
            <w:pPr>
              <w:widowControl w:val="0"/>
              <w:rPr>
                <w:rFonts w:ascii="Arial" w:cs="Arial" w:eastAsia="Arial" w:hAnsi="Arial"/>
                <w:color w:val="000000"/>
                <w:sz w:val="20"/>
                <w:szCs w:val="20"/>
              </w:rPr>
            </w:pPr>
            <w:r w:rsidDel="00000000" w:rsidR="00000000" w:rsidRPr="00000000">
              <w:rPr>
                <w:b w:val="1"/>
                <w:sz w:val="28"/>
                <w:szCs w:val="28"/>
                <w:rtl w:val="0"/>
              </w:rPr>
              <w:t xml:space="preserve">Large £500k-£2m income</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rPr>
                <w:rFonts w:ascii="Arial" w:cs="Arial" w:eastAsia="Arial" w:hAnsi="Arial"/>
                <w:color w:val="000000"/>
                <w:sz w:val="20"/>
                <w:szCs w:val="20"/>
              </w:rPr>
            </w:pPr>
            <w:r w:rsidDel="00000000" w:rsidR="00000000" w:rsidRPr="00000000">
              <w:rPr>
                <w:rtl w:val="0"/>
              </w:rPr>
              <w:t xml:space="preserve">inc. prep &amp; delivery</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jc w:val="right"/>
              <w:rPr>
                <w:rFonts w:ascii="Arial" w:cs="Arial" w:eastAsia="Arial" w:hAnsi="Arial"/>
                <w:color w:val="000000"/>
                <w:sz w:val="20"/>
                <w:szCs w:val="20"/>
              </w:rPr>
            </w:pPr>
            <w:r w:rsidDel="00000000" w:rsidR="00000000" w:rsidRPr="00000000">
              <w:rPr>
                <w:b w:val="1"/>
                <w:rtl w:val="0"/>
              </w:rPr>
              <w:t xml:space="preserve">1 facilitator</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jc w:val="right"/>
              <w:rPr>
                <w:rFonts w:ascii="Arial" w:cs="Arial" w:eastAsia="Arial" w:hAnsi="Arial"/>
                <w:color w:val="000000"/>
                <w:sz w:val="20"/>
                <w:szCs w:val="20"/>
              </w:rPr>
            </w:pPr>
            <w:r w:rsidDel="00000000" w:rsidR="00000000" w:rsidRPr="00000000">
              <w:rPr>
                <w:b w:val="1"/>
                <w:rtl w:val="0"/>
              </w:rPr>
              <w:t xml:space="preserve">2 facilitators</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rFonts w:ascii="Arial" w:cs="Arial" w:eastAsia="Arial" w:hAnsi="Arial"/>
                <w:color w:val="000000"/>
                <w:sz w:val="20"/>
                <w:szCs w:val="20"/>
              </w:rPr>
            </w:pPr>
            <w:r w:rsidDel="00000000" w:rsidR="00000000" w:rsidRPr="00000000">
              <w:rPr>
                <w:b w:val="1"/>
                <w:rtl w:val="0"/>
              </w:rPr>
              <w:t xml:space="preserve">Half-day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jc w:val="right"/>
              <w:rPr>
                <w:rFonts w:ascii="Arial" w:cs="Arial" w:eastAsia="Arial" w:hAnsi="Arial"/>
                <w:color w:val="000000"/>
                <w:sz w:val="20"/>
                <w:szCs w:val="20"/>
              </w:rPr>
            </w:pPr>
            <w:r w:rsidDel="00000000" w:rsidR="00000000" w:rsidRPr="00000000">
              <w:rPr>
                <w:rtl w:val="0"/>
              </w:rPr>
              <w:t xml:space="preserve">£690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jc w:val="right"/>
              <w:rPr>
                <w:rFonts w:ascii="Arial" w:cs="Arial" w:eastAsia="Arial" w:hAnsi="Arial"/>
                <w:color w:val="000000"/>
                <w:sz w:val="20"/>
                <w:szCs w:val="20"/>
              </w:rPr>
            </w:pPr>
            <w:r w:rsidDel="00000000" w:rsidR="00000000" w:rsidRPr="00000000">
              <w:rPr>
                <w:rtl w:val="0"/>
              </w:rPr>
              <w:t xml:space="preserve">£1,380</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rFonts w:ascii="Arial" w:cs="Arial" w:eastAsia="Arial" w:hAnsi="Arial"/>
                <w:color w:val="000000"/>
                <w:sz w:val="20"/>
                <w:szCs w:val="20"/>
              </w:rPr>
            </w:pPr>
            <w:r w:rsidDel="00000000" w:rsidR="00000000" w:rsidRPr="00000000">
              <w:rPr>
                <w:b w:val="1"/>
                <w:rtl w:val="0"/>
              </w:rPr>
              <w:t xml:space="preserve">Full-day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jc w:val="right"/>
              <w:rPr>
                <w:rFonts w:ascii="Arial" w:cs="Arial" w:eastAsia="Arial" w:hAnsi="Arial"/>
                <w:color w:val="000000"/>
                <w:sz w:val="20"/>
                <w:szCs w:val="20"/>
              </w:rPr>
            </w:pPr>
            <w:r w:rsidDel="00000000" w:rsidR="00000000" w:rsidRPr="00000000">
              <w:rPr>
                <w:rtl w:val="0"/>
              </w:rPr>
              <w:t xml:space="preserve">£1,380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jc w:val="right"/>
              <w:rPr>
                <w:rFonts w:ascii="Arial" w:cs="Arial" w:eastAsia="Arial" w:hAnsi="Arial"/>
                <w:color w:val="000000"/>
                <w:sz w:val="20"/>
                <w:szCs w:val="20"/>
              </w:rPr>
            </w:pPr>
            <w:r w:rsidDel="00000000" w:rsidR="00000000" w:rsidRPr="00000000">
              <w:rPr>
                <w:rtl w:val="0"/>
              </w:rPr>
              <w:t xml:space="preserve">£2,760</w:t>
            </w:r>
            <w:r w:rsidDel="00000000" w:rsidR="00000000" w:rsidRPr="00000000">
              <w:rPr>
                <w:rtl w:val="0"/>
              </w:rPr>
            </w:r>
          </w:p>
        </w:tc>
      </w:tr>
      <w:tr>
        <w:trPr>
          <w:cantSplit w:val="0"/>
          <w:trHeight w:val="315"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rFonts w:ascii="Arial" w:cs="Arial" w:eastAsia="Arial" w:hAnsi="Arial"/>
                <w:color w:val="000000"/>
                <w:sz w:val="20"/>
                <w:szCs w:val="20"/>
              </w:rPr>
            </w:pP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rFonts w:ascii="Arial" w:cs="Arial" w:eastAsia="Arial" w:hAnsi="Arial"/>
                <w:color w:val="000000"/>
                <w:sz w:val="20"/>
                <w:szCs w:val="20"/>
              </w:rPr>
            </w:pP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rFonts w:ascii="Arial" w:cs="Arial" w:eastAsia="Arial" w:hAnsi="Arial"/>
                <w:color w:val="000000"/>
                <w:sz w:val="20"/>
                <w:szCs w:val="20"/>
              </w:rPr>
            </w:pPr>
            <w:r w:rsidDel="00000000" w:rsidR="00000000" w:rsidRPr="00000000">
              <w:rPr>
                <w:rtl w:val="0"/>
              </w:rPr>
            </w:r>
          </w:p>
        </w:tc>
      </w:tr>
      <w:tr>
        <w:trPr>
          <w:cantSplit w:val="0"/>
          <w:trHeight w:val="390" w:hRule="atLeast"/>
          <w:tblHeader w:val="0"/>
        </w:trPr>
        <w:tc>
          <w:tcPr>
            <w:gridSpan w:val="3"/>
            <w:tcBorders>
              <w:top w:color="cccccc" w:space="0" w:sz="6" w:val="single"/>
              <w:left w:color="d9d9d9" w:space="0" w:sz="6" w:val="single"/>
              <w:bottom w:color="d9d9d9" w:space="0" w:sz="6" w:val="single"/>
              <w:right w:color="d9d9d9" w:space="0" w:sz="6" w:val="single"/>
            </w:tcBorders>
            <w:shd w:fill="6fa8dc" w:val="clear"/>
            <w:tcMar>
              <w:top w:w="40.0" w:type="dxa"/>
              <w:left w:w="40.0" w:type="dxa"/>
              <w:bottom w:w="40.0" w:type="dxa"/>
              <w:right w:w="40.0" w:type="dxa"/>
            </w:tcMar>
            <w:vAlign w:val="bottom"/>
          </w:tcPr>
          <w:p w:rsidR="00000000" w:rsidDel="00000000" w:rsidP="00000000" w:rsidRDefault="00000000" w:rsidRPr="00000000" w14:paraId="0000009E">
            <w:pPr>
              <w:widowControl w:val="0"/>
              <w:rPr>
                <w:rFonts w:ascii="Arial" w:cs="Arial" w:eastAsia="Arial" w:hAnsi="Arial"/>
                <w:color w:val="000000"/>
                <w:sz w:val="20"/>
                <w:szCs w:val="20"/>
              </w:rPr>
            </w:pPr>
            <w:r w:rsidDel="00000000" w:rsidR="00000000" w:rsidRPr="00000000">
              <w:rPr>
                <w:b w:val="1"/>
                <w:sz w:val="28"/>
                <w:szCs w:val="28"/>
                <w:rtl w:val="0"/>
              </w:rPr>
              <w:t xml:space="preserve">Massive over £2m income</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rFonts w:ascii="Arial" w:cs="Arial" w:eastAsia="Arial" w:hAnsi="Arial"/>
                <w:color w:val="000000"/>
                <w:sz w:val="20"/>
                <w:szCs w:val="20"/>
              </w:rPr>
            </w:pPr>
            <w:r w:rsidDel="00000000" w:rsidR="00000000" w:rsidRPr="00000000">
              <w:rPr>
                <w:rtl w:val="0"/>
              </w:rPr>
              <w:t xml:space="preserve">inc. prep &amp; delivery</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jc w:val="right"/>
              <w:rPr>
                <w:rFonts w:ascii="Arial" w:cs="Arial" w:eastAsia="Arial" w:hAnsi="Arial"/>
                <w:color w:val="000000"/>
                <w:sz w:val="20"/>
                <w:szCs w:val="20"/>
              </w:rPr>
            </w:pPr>
            <w:r w:rsidDel="00000000" w:rsidR="00000000" w:rsidRPr="00000000">
              <w:rPr>
                <w:b w:val="1"/>
                <w:rtl w:val="0"/>
              </w:rPr>
              <w:t xml:space="preserve">1 facilitator</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jc w:val="right"/>
              <w:rPr>
                <w:rFonts w:ascii="Arial" w:cs="Arial" w:eastAsia="Arial" w:hAnsi="Arial"/>
                <w:color w:val="000000"/>
                <w:sz w:val="20"/>
                <w:szCs w:val="20"/>
              </w:rPr>
            </w:pPr>
            <w:r w:rsidDel="00000000" w:rsidR="00000000" w:rsidRPr="00000000">
              <w:rPr>
                <w:b w:val="1"/>
                <w:rtl w:val="0"/>
              </w:rPr>
              <w:t xml:space="preserve">2 facilitators</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rFonts w:ascii="Arial" w:cs="Arial" w:eastAsia="Arial" w:hAnsi="Arial"/>
                <w:color w:val="000000"/>
                <w:sz w:val="20"/>
                <w:szCs w:val="20"/>
              </w:rPr>
            </w:pPr>
            <w:r w:rsidDel="00000000" w:rsidR="00000000" w:rsidRPr="00000000">
              <w:rPr>
                <w:b w:val="1"/>
                <w:rtl w:val="0"/>
              </w:rPr>
              <w:t xml:space="preserve">Half-day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jc w:val="right"/>
              <w:rPr>
                <w:rFonts w:ascii="Arial" w:cs="Arial" w:eastAsia="Arial" w:hAnsi="Arial"/>
                <w:color w:val="000000"/>
                <w:sz w:val="20"/>
                <w:szCs w:val="20"/>
              </w:rPr>
            </w:pPr>
            <w:r w:rsidDel="00000000" w:rsidR="00000000" w:rsidRPr="00000000">
              <w:rPr>
                <w:rtl w:val="0"/>
              </w:rPr>
              <w:t xml:space="preserve">£920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jc w:val="right"/>
              <w:rPr>
                <w:rFonts w:ascii="Arial" w:cs="Arial" w:eastAsia="Arial" w:hAnsi="Arial"/>
                <w:color w:val="000000"/>
                <w:sz w:val="20"/>
                <w:szCs w:val="20"/>
              </w:rPr>
            </w:pPr>
            <w:r w:rsidDel="00000000" w:rsidR="00000000" w:rsidRPr="00000000">
              <w:rPr>
                <w:rtl w:val="0"/>
              </w:rPr>
              <w:t xml:space="preserve">£1,840</w:t>
            </w:r>
            <w:r w:rsidDel="00000000" w:rsidR="00000000" w:rsidRPr="00000000">
              <w:rPr>
                <w:rtl w:val="0"/>
              </w:rPr>
            </w:r>
          </w:p>
        </w:tc>
      </w:tr>
      <w:tr>
        <w:trPr>
          <w:cantSplit w:val="0"/>
          <w:trHeight w:val="330" w:hRule="atLeast"/>
          <w:tblHeader w:val="0"/>
        </w:trPr>
        <w:tc>
          <w:tcPr>
            <w:tcBorders>
              <w:top w:color="cccccc" w:space="0" w:sz="6" w:val="single"/>
              <w:left w:color="d9d9d9"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rPr>
                <w:rFonts w:ascii="Arial" w:cs="Arial" w:eastAsia="Arial" w:hAnsi="Arial"/>
                <w:color w:val="000000"/>
                <w:sz w:val="20"/>
                <w:szCs w:val="20"/>
              </w:rPr>
            </w:pPr>
            <w:r w:rsidDel="00000000" w:rsidR="00000000" w:rsidRPr="00000000">
              <w:rPr>
                <w:b w:val="1"/>
                <w:rtl w:val="0"/>
              </w:rPr>
              <w:t xml:space="preserve">Full-day workshop</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jc w:val="right"/>
              <w:rPr>
                <w:rFonts w:ascii="Arial" w:cs="Arial" w:eastAsia="Arial" w:hAnsi="Arial"/>
                <w:color w:val="000000"/>
                <w:sz w:val="20"/>
                <w:szCs w:val="20"/>
              </w:rPr>
            </w:pPr>
            <w:r w:rsidDel="00000000" w:rsidR="00000000" w:rsidRPr="00000000">
              <w:rPr>
                <w:rtl w:val="0"/>
              </w:rPr>
              <w:t xml:space="preserve">£1,840</w:t>
            </w:r>
            <w:r w:rsidDel="00000000" w:rsidR="00000000" w:rsidRPr="00000000">
              <w:rPr>
                <w:rtl w:val="0"/>
              </w:rPr>
            </w:r>
          </w:p>
        </w:tc>
        <w:tc>
          <w:tcPr>
            <w:tcBorders>
              <w:top w:color="cccccc" w:space="0" w:sz="6" w:val="single"/>
              <w:left w:color="cccccc" w:space="0" w:sz="6" w:val="single"/>
              <w:bottom w:color="d9d9d9" w:space="0" w:sz="6" w:val="single"/>
              <w:right w:color="d9d9d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jc w:val="right"/>
              <w:rPr>
                <w:rFonts w:ascii="Arial" w:cs="Arial" w:eastAsia="Arial" w:hAnsi="Arial"/>
                <w:color w:val="000000"/>
                <w:sz w:val="20"/>
                <w:szCs w:val="20"/>
              </w:rPr>
            </w:pPr>
            <w:r w:rsidDel="00000000" w:rsidR="00000000" w:rsidRPr="00000000">
              <w:rPr>
                <w:rtl w:val="0"/>
              </w:rPr>
              <w:t xml:space="preserve">£3,680</w:t>
            </w: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sectPr>
      <w:headerReference r:id="rId8"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 w:name="Work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color w:val="df007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color w:val="df0079"/>
        <w:u w:val="none"/>
      </w:rPr>
    </w:lvl>
    <w:lvl w:ilvl="1">
      <w:start w:val="1"/>
      <w:numFmt w:val="lowerLetter"/>
      <w:lvlText w:val="%2."/>
      <w:lvlJc w:val="left"/>
      <w:pPr>
        <w:ind w:left="1440" w:hanging="360"/>
      </w:pPr>
      <w:rPr>
        <w:color w:val="df0079"/>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Work Sans" w:cs="Work Sans" w:eastAsia="Work Sans" w:hAnsi="Work Sans"/>
        <w:color w:val="192a3d"/>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sz w:val="40"/>
      <w:szCs w:val="40"/>
    </w:rPr>
  </w:style>
  <w:style w:type="paragraph" w:styleId="Heading2">
    <w:name w:val="heading 2"/>
    <w:basedOn w:val="Normal"/>
    <w:next w:val="Normal"/>
    <w:pPr>
      <w:keepNext w:val="1"/>
      <w:keepLines w:val="1"/>
      <w:spacing w:after="200" w:before="200" w:line="252.00000000000003" w:lineRule="auto"/>
    </w:pPr>
    <w:rPr>
      <w:b w:val="1"/>
      <w:color w:val="df0079"/>
      <w:sz w:val="32"/>
      <w:szCs w:val="32"/>
    </w:rPr>
  </w:style>
  <w:style w:type="paragraph" w:styleId="Heading3">
    <w:name w:val="heading 3"/>
    <w:basedOn w:val="Normal"/>
    <w:next w:val="Normal"/>
    <w:pPr>
      <w:keepNext w:val="1"/>
      <w:keepLines w:val="1"/>
      <w:spacing w:line="264" w:lineRule="auto"/>
    </w:pPr>
    <w:rPr>
      <w:b w:val="1"/>
      <w:sz w:val="28"/>
      <w:szCs w:val="28"/>
    </w:rPr>
  </w:style>
  <w:style w:type="paragraph" w:styleId="Heading4">
    <w:name w:val="heading 4"/>
    <w:basedOn w:val="Normal"/>
    <w:next w:val="Normal"/>
    <w:pPr>
      <w:keepNext w:val="1"/>
      <w:keepLines w:val="1"/>
    </w:pPr>
    <w:rPr>
      <w:b w:val="1"/>
      <w:color w:val="65d0a5"/>
      <w:sz w:val="24"/>
      <w:szCs w:val="24"/>
    </w:rPr>
  </w:style>
  <w:style w:type="paragraph" w:styleId="Heading5">
    <w:name w:val="heading 5"/>
    <w:basedOn w:val="Normal"/>
    <w:next w:val="Normal"/>
    <w:pPr>
      <w:keepNext w:val="1"/>
      <w:keepLines w:val="1"/>
    </w:pPr>
    <w:rPr>
      <w:b w:val="1"/>
      <w:color w:val="000000"/>
    </w:rPr>
  </w:style>
  <w:style w:type="paragraph" w:styleId="Heading6">
    <w:name w:val="heading 6"/>
    <w:basedOn w:val="Normal"/>
    <w:next w:val="Normal"/>
    <w:pPr>
      <w:keepNext w:val="1"/>
      <w:keepLines w:val="1"/>
    </w:pPr>
    <w:rPr>
      <w:rFonts w:ascii="Caveat" w:cs="Caveat" w:eastAsia="Caveat" w:hAnsi="Caveat"/>
      <w:b w:val="1"/>
      <w:sz w:val="72"/>
      <w:szCs w:val="72"/>
    </w:rPr>
  </w:style>
  <w:style w:type="paragraph" w:styleId="Title">
    <w:name w:val="Title"/>
    <w:basedOn w:val="Normal"/>
    <w:next w:val="Normal"/>
    <w:pPr>
      <w:keepNext w:val="1"/>
      <w:keepLines w:val="1"/>
      <w:spacing w:line="240" w:lineRule="auto"/>
    </w:pPr>
    <w:rPr>
      <w:rFonts w:ascii="Work Sans" w:cs="Work Sans" w:eastAsia="Work Sans" w:hAnsi="Work Sans"/>
      <w:b w:val="1"/>
      <w:sz w:val="60"/>
      <w:szCs w:val="60"/>
    </w:rPr>
  </w:style>
  <w:style w:type="paragraph" w:styleId="Subtitle">
    <w:name w:val="Subtitle"/>
    <w:basedOn w:val="Normal"/>
    <w:next w:val="Normal"/>
    <w:pPr>
      <w:keepNext w:val="1"/>
      <w:keepLines w:val="1"/>
    </w:pPr>
    <w:rPr>
      <w:rFonts w:ascii="Work Sans" w:cs="Work Sans" w:eastAsia="Work Sans" w:hAnsi="Work Sans"/>
      <w:b w:val="1"/>
      <w:color w:val="65d0a5"/>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hgcaUdkxkkOVzaENfAwPohazot2ZhkaCqPyDw_2-wqk/edit#heading=h.edpx1n8z3ca5" TargetMode="External"/><Relationship Id="rId7" Type="http://schemas.openxmlformats.org/officeDocument/2006/relationships/hyperlink" Target="https://docs.google.com/document/u/1/d/1cJLpxZ5jMPjcXq0HijBfzyLWYoqUK3iuPWhUca1ABBs/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WorkSans-regular.ttf"/><Relationship Id="rId4" Type="http://schemas.openxmlformats.org/officeDocument/2006/relationships/font" Target="fonts/WorkSans-bold.ttf"/><Relationship Id="rId5" Type="http://schemas.openxmlformats.org/officeDocument/2006/relationships/font" Target="fonts/WorkSans-italic.ttf"/><Relationship Id="rId6"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